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34C7D" w:rsidRPr="007526EC" w:rsidRDefault="00C71874">
      <w:pPr>
        <w:pBdr>
          <w:top w:val="nil"/>
          <w:left w:val="nil"/>
          <w:bottom w:val="nil"/>
          <w:right w:val="nil"/>
          <w:between w:val="nil"/>
        </w:pBdr>
        <w:spacing w:line="360" w:lineRule="auto"/>
        <w:jc w:val="center"/>
        <w:rPr>
          <w:b/>
          <w:color w:val="000000" w:themeColor="text1"/>
          <w:sz w:val="28"/>
          <w:szCs w:val="28"/>
          <w:lang w:val="en-US"/>
        </w:rPr>
      </w:pPr>
      <w:r w:rsidRPr="007526EC">
        <w:rPr>
          <w:b/>
          <w:color w:val="000000" w:themeColor="text1"/>
          <w:sz w:val="28"/>
          <w:szCs w:val="28"/>
          <w:lang w:val="en-US"/>
        </w:rPr>
        <w:t>Redirecting the Route: Monocyte-Mediated Delivery of oHSV-1 Across a Human BBB-on-chip Model</w:t>
      </w:r>
    </w:p>
    <w:p w14:paraId="00000002" w14:textId="77777777" w:rsidR="00234C7D" w:rsidRPr="007526EC" w:rsidRDefault="00234C7D">
      <w:pPr>
        <w:pBdr>
          <w:top w:val="nil"/>
          <w:left w:val="nil"/>
          <w:bottom w:val="nil"/>
          <w:right w:val="nil"/>
          <w:between w:val="nil"/>
        </w:pBdr>
        <w:spacing w:line="360" w:lineRule="auto"/>
        <w:jc w:val="center"/>
        <w:rPr>
          <w:b/>
          <w:color w:val="000000" w:themeColor="text1"/>
          <w:sz w:val="28"/>
          <w:szCs w:val="28"/>
          <w:lang w:val="en-US"/>
        </w:rPr>
      </w:pPr>
    </w:p>
    <w:p w14:paraId="00000003" w14:textId="77777777" w:rsidR="00234C7D" w:rsidRPr="007526EC" w:rsidRDefault="00C71874">
      <w:pPr>
        <w:pBdr>
          <w:top w:val="nil"/>
          <w:left w:val="nil"/>
          <w:bottom w:val="nil"/>
          <w:right w:val="nil"/>
          <w:between w:val="nil"/>
        </w:pBdr>
        <w:spacing w:line="360" w:lineRule="auto"/>
        <w:jc w:val="center"/>
        <w:rPr>
          <w:i/>
          <w:color w:val="000000" w:themeColor="text1"/>
          <w:lang w:val="it-IT"/>
        </w:rPr>
      </w:pPr>
      <w:r w:rsidRPr="007526EC">
        <w:rPr>
          <w:i/>
          <w:color w:val="000000" w:themeColor="text1"/>
          <w:lang w:val="it-IT"/>
        </w:rPr>
        <w:t>Sara Micheli</w:t>
      </w:r>
      <w:r w:rsidRPr="007526EC">
        <w:rPr>
          <w:i/>
          <w:color w:val="000000" w:themeColor="text1"/>
          <w:vertAlign w:val="superscript"/>
          <w:lang w:val="it-IT"/>
        </w:rPr>
        <w:t>#</w:t>
      </w:r>
      <w:r w:rsidRPr="007526EC">
        <w:rPr>
          <w:i/>
          <w:color w:val="000000" w:themeColor="text1"/>
          <w:lang w:val="it-IT"/>
        </w:rPr>
        <w:t>, Alberto Reale</w:t>
      </w:r>
      <w:r w:rsidRPr="007526EC">
        <w:rPr>
          <w:i/>
          <w:color w:val="000000" w:themeColor="text1"/>
          <w:vertAlign w:val="superscript"/>
          <w:lang w:val="it-IT"/>
        </w:rPr>
        <w:t>#</w:t>
      </w:r>
      <w:r w:rsidRPr="007526EC">
        <w:rPr>
          <w:i/>
          <w:color w:val="000000" w:themeColor="text1"/>
          <w:lang w:val="it-IT"/>
        </w:rPr>
        <w:t>, Alessandra Rossetto, Cristina Parolin, Fabio Mammano, Arianna Calistri*, Elisa Cimetta*</w:t>
      </w:r>
    </w:p>
    <w:p w14:paraId="00000004" w14:textId="77777777" w:rsidR="00234C7D" w:rsidRPr="007526EC" w:rsidRDefault="00234C7D">
      <w:pPr>
        <w:pBdr>
          <w:top w:val="nil"/>
          <w:left w:val="nil"/>
          <w:bottom w:val="nil"/>
          <w:right w:val="nil"/>
          <w:between w:val="nil"/>
        </w:pBdr>
        <w:spacing w:line="360" w:lineRule="auto"/>
        <w:rPr>
          <w:color w:val="000000" w:themeColor="text1"/>
          <w:lang w:val="it-IT"/>
        </w:rPr>
      </w:pPr>
    </w:p>
    <w:p w14:paraId="00000005"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S. Micheli, E. Cimetta</w:t>
      </w:r>
    </w:p>
    <w:p w14:paraId="00000006"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Department of Industrial Engineering, University of Padua, Padua, Italy and</w:t>
      </w:r>
    </w:p>
    <w:p w14:paraId="00000007" w14:textId="77777777" w:rsidR="00234C7D" w:rsidRPr="007526EC" w:rsidRDefault="00C71874">
      <w:pPr>
        <w:pBdr>
          <w:top w:val="nil"/>
          <w:left w:val="nil"/>
          <w:bottom w:val="nil"/>
          <w:right w:val="nil"/>
          <w:between w:val="nil"/>
        </w:pBdr>
        <w:spacing w:line="360" w:lineRule="auto"/>
        <w:rPr>
          <w:color w:val="000000" w:themeColor="text1"/>
          <w:lang w:val="it-IT"/>
        </w:rPr>
      </w:pPr>
      <w:r w:rsidRPr="007526EC">
        <w:rPr>
          <w:color w:val="000000" w:themeColor="text1"/>
          <w:lang w:val="it-IT"/>
        </w:rPr>
        <w:t xml:space="preserve">Fondazione Istituto di Ricerca Pediatrica Città della Speranza, Padua, </w:t>
      </w:r>
      <w:proofErr w:type="spellStart"/>
      <w:r w:rsidRPr="007526EC">
        <w:rPr>
          <w:color w:val="000000" w:themeColor="text1"/>
          <w:lang w:val="it-IT"/>
        </w:rPr>
        <w:t>Italy</w:t>
      </w:r>
      <w:proofErr w:type="spellEnd"/>
      <w:r w:rsidRPr="007526EC">
        <w:rPr>
          <w:color w:val="000000" w:themeColor="text1"/>
          <w:lang w:val="it-IT"/>
        </w:rPr>
        <w:t xml:space="preserve"> </w:t>
      </w:r>
    </w:p>
    <w:p w14:paraId="00000008" w14:textId="77777777" w:rsidR="00234C7D" w:rsidRPr="007526EC" w:rsidRDefault="00C71874">
      <w:pPr>
        <w:pBdr>
          <w:top w:val="nil"/>
          <w:left w:val="nil"/>
          <w:bottom w:val="nil"/>
          <w:right w:val="nil"/>
          <w:between w:val="nil"/>
        </w:pBdr>
        <w:spacing w:line="360" w:lineRule="auto"/>
        <w:rPr>
          <w:color w:val="000000" w:themeColor="text1"/>
          <w:lang w:val="it-IT"/>
        </w:rPr>
      </w:pPr>
      <w:hyperlink r:id="rId9">
        <w:r w:rsidRPr="007526EC">
          <w:rPr>
            <w:color w:val="000000" w:themeColor="text1"/>
            <w:u w:val="single"/>
            <w:lang w:val="it-IT"/>
          </w:rPr>
          <w:t>elisa.cimetta@unipd.it</w:t>
        </w:r>
      </w:hyperlink>
    </w:p>
    <w:p w14:paraId="00000009" w14:textId="77777777" w:rsidR="00234C7D" w:rsidRPr="007526EC" w:rsidRDefault="00C71874">
      <w:pPr>
        <w:pBdr>
          <w:top w:val="nil"/>
          <w:left w:val="nil"/>
          <w:bottom w:val="nil"/>
          <w:right w:val="nil"/>
          <w:between w:val="nil"/>
        </w:pBdr>
        <w:spacing w:line="360" w:lineRule="auto"/>
        <w:rPr>
          <w:color w:val="000000" w:themeColor="text1"/>
          <w:lang w:val="it-IT"/>
        </w:rPr>
      </w:pPr>
      <w:r w:rsidRPr="007526EC">
        <w:rPr>
          <w:color w:val="000000" w:themeColor="text1"/>
          <w:lang w:val="it-IT"/>
        </w:rPr>
        <w:t>A. Reale, A. Rossetto, C. Parolin, A. Calistri</w:t>
      </w:r>
    </w:p>
    <w:p w14:paraId="0000000A"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Department of Molecular Medicine, University of Padua, Italy</w:t>
      </w:r>
    </w:p>
    <w:p w14:paraId="0000000B" w14:textId="77777777" w:rsidR="00234C7D" w:rsidRPr="007526EC" w:rsidRDefault="00C71874">
      <w:pPr>
        <w:pBdr>
          <w:top w:val="nil"/>
          <w:left w:val="nil"/>
          <w:bottom w:val="nil"/>
          <w:right w:val="nil"/>
          <w:between w:val="nil"/>
        </w:pBdr>
        <w:spacing w:line="360" w:lineRule="auto"/>
        <w:rPr>
          <w:color w:val="000000" w:themeColor="text1"/>
          <w:lang w:val="it-IT"/>
        </w:rPr>
      </w:pPr>
      <w:hyperlink r:id="rId10">
        <w:r w:rsidRPr="007526EC">
          <w:rPr>
            <w:color w:val="000000" w:themeColor="text1"/>
            <w:u w:val="single"/>
            <w:lang w:val="it-IT"/>
          </w:rPr>
          <w:t>arianna.calistri@unipd.it</w:t>
        </w:r>
      </w:hyperlink>
    </w:p>
    <w:p w14:paraId="0000000C" w14:textId="77777777" w:rsidR="00234C7D" w:rsidRPr="007526EC" w:rsidRDefault="00C71874">
      <w:pPr>
        <w:pBdr>
          <w:top w:val="nil"/>
          <w:left w:val="nil"/>
          <w:bottom w:val="nil"/>
          <w:right w:val="nil"/>
          <w:between w:val="nil"/>
        </w:pBdr>
        <w:spacing w:line="360" w:lineRule="auto"/>
        <w:rPr>
          <w:color w:val="000000" w:themeColor="text1"/>
          <w:lang w:val="it-IT"/>
        </w:rPr>
      </w:pPr>
      <w:r w:rsidRPr="007526EC">
        <w:rPr>
          <w:color w:val="000000" w:themeColor="text1"/>
          <w:lang w:val="it-IT"/>
        </w:rPr>
        <w:t>F. Mammano</w:t>
      </w:r>
    </w:p>
    <w:p w14:paraId="0000000D"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Department of Physics and Astronomy “G. Galilei”, University of Padua, Padua, Italy and</w:t>
      </w:r>
    </w:p>
    <w:p w14:paraId="0000000E"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 xml:space="preserve">CNR Institute of Biochemistry and Cell Biology, </w:t>
      </w:r>
      <w:proofErr w:type="spellStart"/>
      <w:r w:rsidRPr="007526EC">
        <w:rPr>
          <w:color w:val="000000" w:themeColor="text1"/>
          <w:lang w:val="en-US"/>
        </w:rPr>
        <w:t>Monterotondo</w:t>
      </w:r>
      <w:proofErr w:type="spellEnd"/>
      <w:r w:rsidRPr="007526EC">
        <w:rPr>
          <w:color w:val="000000" w:themeColor="text1"/>
          <w:lang w:val="en-US"/>
        </w:rPr>
        <w:t xml:space="preserve">, Rome, </w:t>
      </w:r>
      <w:proofErr w:type="gramStart"/>
      <w:r w:rsidRPr="007526EC">
        <w:rPr>
          <w:color w:val="000000" w:themeColor="text1"/>
          <w:lang w:val="en-US"/>
        </w:rPr>
        <w:t>Italy;</w:t>
      </w:r>
      <w:proofErr w:type="gramEnd"/>
    </w:p>
    <w:p w14:paraId="0000000F"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#Those Authors contributed equally to the work</w:t>
      </w:r>
    </w:p>
    <w:p w14:paraId="00000010" w14:textId="77777777" w:rsidR="00234C7D" w:rsidRPr="007526EC" w:rsidRDefault="00234C7D">
      <w:pPr>
        <w:spacing w:line="360" w:lineRule="auto"/>
        <w:rPr>
          <w:color w:val="000000" w:themeColor="text1"/>
          <w:lang w:val="en-US"/>
        </w:rPr>
      </w:pPr>
    </w:p>
    <w:p w14:paraId="00000011" w14:textId="77777777" w:rsidR="00234C7D" w:rsidRPr="007526EC" w:rsidRDefault="00C71874">
      <w:pPr>
        <w:spacing w:line="360" w:lineRule="auto"/>
        <w:rPr>
          <w:b/>
          <w:color w:val="000000" w:themeColor="text1"/>
          <w:lang w:val="en-US"/>
        </w:rPr>
      </w:pPr>
      <w:r w:rsidRPr="007526EC">
        <w:rPr>
          <w:b/>
          <w:color w:val="000000" w:themeColor="text1"/>
          <w:lang w:val="en-US"/>
        </w:rPr>
        <w:t>Abstract</w:t>
      </w:r>
    </w:p>
    <w:p w14:paraId="00000012" w14:textId="574FA5CD" w:rsidR="00234C7D" w:rsidRPr="007526EC" w:rsidRDefault="00C71874">
      <w:pPr>
        <w:spacing w:line="276" w:lineRule="auto"/>
        <w:jc w:val="both"/>
        <w:rPr>
          <w:color w:val="000000" w:themeColor="text1"/>
          <w:lang w:val="en-US"/>
        </w:rPr>
      </w:pPr>
      <w:r w:rsidRPr="007526EC">
        <w:rPr>
          <w:color w:val="000000" w:themeColor="text1"/>
          <w:lang w:val="en-US"/>
        </w:rPr>
        <w:t xml:space="preserve">Oncolytic viruses (OVs) that selectively replicate within cancer cells represent a promising therapeutic strategy for refractory or difficult-to-treat tumors such as Glioblastoma (GBM). In this study, we develop and validate a human microfluidic blood brain barrier (BBB) model to evaluate the potential of cell-based OVs delivery targeting the central nervous system. We demonstrate that circulating leukocytes (monocytes), serve as effective carrier cells for the delivery of a </w:t>
      </w:r>
      <w:proofErr w:type="spellStart"/>
      <w:r w:rsidRPr="007526EC">
        <w:rPr>
          <w:color w:val="000000" w:themeColor="text1"/>
          <w:lang w:val="en-US"/>
        </w:rPr>
        <w:t>neuroattenuated</w:t>
      </w:r>
      <w:proofErr w:type="spellEnd"/>
      <w:r w:rsidRPr="007526EC">
        <w:rPr>
          <w:color w:val="000000" w:themeColor="text1"/>
          <w:lang w:val="en-US"/>
        </w:rPr>
        <w:t xml:space="preserve"> strain of oncolytic herpes simplex virus type 1 (oHSV-1) to GBM. Human monocytes infected with oHSV-1 and perfused through the device successfully traverse the BBB and migrate toward human GBM spheroids, where they deliver the virus and initiate infection. Notably, monocyte-mediated oHSV-1 delivery to the tumor</w:t>
      </w:r>
      <w:r w:rsidR="00026463" w:rsidRPr="007526EC">
        <w:rPr>
          <w:color w:val="000000" w:themeColor="text1"/>
          <w:lang w:val="en-US"/>
        </w:rPr>
        <w:t xml:space="preserve"> occurs with </w:t>
      </w:r>
      <w:r w:rsidR="00026463" w:rsidRPr="007526EC">
        <w:rPr>
          <w:rStyle w:val="Strong"/>
          <w:b w:val="0"/>
          <w:color w:val="000000" w:themeColor="text1"/>
          <w:lang w:val="en-US"/>
        </w:rPr>
        <w:t>minimal involvement of BBB infection</w:t>
      </w:r>
      <w:r w:rsidR="00026463" w:rsidRPr="007526EC">
        <w:rPr>
          <w:color w:val="000000" w:themeColor="text1"/>
          <w:lang w:val="en-US"/>
        </w:rPr>
        <w:t xml:space="preserve"> </w:t>
      </w:r>
      <w:r w:rsidRPr="007526EC">
        <w:rPr>
          <w:color w:val="000000" w:themeColor="text1"/>
          <w:lang w:val="en-US"/>
        </w:rPr>
        <w:t xml:space="preserve">and remains effective even in the presence of anti-HSV-1 antibodies, commonly found in the general population. In contrast, free oHSV-1 infects BBB-resident cells and is neutralized by circulating human immunoglobulins. These findings highlight the potential of monocyte-based oHSV-1 delivery as a targeted, immune-shielded strategy for GBM therapy. </w:t>
      </w:r>
    </w:p>
    <w:p w14:paraId="00000013" w14:textId="77777777" w:rsidR="00234C7D" w:rsidRPr="007526EC" w:rsidRDefault="00234C7D">
      <w:pPr>
        <w:spacing w:line="276" w:lineRule="auto"/>
        <w:jc w:val="both"/>
        <w:rPr>
          <w:color w:val="000000" w:themeColor="text1"/>
          <w:lang w:val="en-US"/>
        </w:rPr>
      </w:pPr>
    </w:p>
    <w:p w14:paraId="00000014" w14:textId="77777777" w:rsidR="00234C7D" w:rsidRPr="007526EC" w:rsidRDefault="00234C7D">
      <w:pPr>
        <w:spacing w:line="276" w:lineRule="auto"/>
        <w:jc w:val="both"/>
        <w:rPr>
          <w:color w:val="000000" w:themeColor="text1"/>
          <w:lang w:val="en-US"/>
        </w:rPr>
      </w:pPr>
    </w:p>
    <w:p w14:paraId="00000015" w14:textId="77777777" w:rsidR="00234C7D" w:rsidRPr="007526EC" w:rsidRDefault="00234C7D">
      <w:pPr>
        <w:spacing w:line="276" w:lineRule="auto"/>
        <w:jc w:val="both"/>
        <w:rPr>
          <w:color w:val="000000" w:themeColor="text1"/>
          <w:lang w:val="en-US"/>
        </w:rPr>
      </w:pPr>
    </w:p>
    <w:p w14:paraId="00000016" w14:textId="77777777" w:rsidR="00234C7D" w:rsidRPr="007526EC" w:rsidRDefault="00234C7D">
      <w:pPr>
        <w:spacing w:line="276" w:lineRule="auto"/>
        <w:jc w:val="both"/>
        <w:rPr>
          <w:color w:val="000000" w:themeColor="text1"/>
          <w:lang w:val="en-US"/>
        </w:rPr>
      </w:pPr>
    </w:p>
    <w:p w14:paraId="00000017" w14:textId="77777777" w:rsidR="00234C7D" w:rsidRPr="007526EC" w:rsidRDefault="00234C7D">
      <w:pPr>
        <w:spacing w:line="276" w:lineRule="auto"/>
        <w:jc w:val="both"/>
        <w:rPr>
          <w:color w:val="000000" w:themeColor="text1"/>
          <w:lang w:val="en-US"/>
        </w:rPr>
      </w:pPr>
    </w:p>
    <w:p w14:paraId="00000018" w14:textId="77777777" w:rsidR="00234C7D" w:rsidRPr="007526EC" w:rsidRDefault="00234C7D">
      <w:pPr>
        <w:spacing w:line="276" w:lineRule="auto"/>
        <w:jc w:val="both"/>
        <w:rPr>
          <w:color w:val="000000" w:themeColor="text1"/>
          <w:lang w:val="en-US"/>
        </w:rPr>
      </w:pPr>
    </w:p>
    <w:p w14:paraId="00000019" w14:textId="77777777" w:rsidR="00234C7D" w:rsidRPr="007526EC" w:rsidRDefault="00C71874">
      <w:pPr>
        <w:pBdr>
          <w:top w:val="nil"/>
          <w:left w:val="nil"/>
          <w:bottom w:val="nil"/>
          <w:right w:val="nil"/>
          <w:between w:val="nil"/>
        </w:pBdr>
        <w:spacing w:after="120" w:line="276" w:lineRule="auto"/>
        <w:jc w:val="both"/>
        <w:rPr>
          <w:b/>
          <w:color w:val="000000" w:themeColor="text1"/>
          <w:lang w:val="en-US"/>
        </w:rPr>
      </w:pPr>
      <w:r w:rsidRPr="007526EC">
        <w:rPr>
          <w:b/>
          <w:color w:val="000000" w:themeColor="text1"/>
          <w:lang w:val="en-US"/>
        </w:rPr>
        <w:lastRenderedPageBreak/>
        <w:t>1. Introduction</w:t>
      </w:r>
    </w:p>
    <w:p w14:paraId="0000001A" w14:textId="59B2CED0" w:rsidR="00234C7D" w:rsidRPr="007526EC" w:rsidRDefault="00C71874">
      <w:pPr>
        <w:spacing w:line="276" w:lineRule="auto"/>
        <w:jc w:val="both"/>
        <w:rPr>
          <w:color w:val="000000" w:themeColor="text1"/>
          <w:highlight w:val="yellow"/>
          <w:lang w:val="en-US"/>
        </w:rPr>
      </w:pPr>
      <w:r w:rsidRPr="007526EC">
        <w:rPr>
          <w:color w:val="000000" w:themeColor="text1"/>
          <w:lang w:val="en-US"/>
        </w:rPr>
        <w:t>The blood–brain barrier (BBB) is a specialized anatomical structure composed of vascular endothelial cells, pericytes, and astrocytes that selectively filter molecules from the bloodstream into the central nervous system (CNS).</w:t>
      </w:r>
      <w:r w:rsidR="00077DA7" w:rsidRPr="007526EC">
        <w:rPr>
          <w:color w:val="000000" w:themeColor="text1"/>
          <w:lang w:val="en-US"/>
        </w:rPr>
        <w:fldChar w:fldCharType="begin" w:fldLock="1"/>
      </w:r>
      <w:r w:rsidR="0098686A" w:rsidRPr="007526EC">
        <w:rPr>
          <w:color w:val="000000" w:themeColor="text1"/>
          <w:lang w:val="en-US"/>
        </w:rPr>
        <w:instrText>ADDIN CSL_CITATION {"citationItems":[{"id":"ITEM-1","itemData":{"DOI":"10.1038/nm.3407","ISSN":"1546-170X (Electronic)","PMID":"24309662","abstract":"The interface between the blood circulation and the neural tissue features unique  characteristics that are encompassed by the term 'blood-brain barrier' (BBB). The main functions of this barrier, namely maintenance of brain homeostasis, regulation of influx and efflux transport, and protection from harm, are determined by its specialized multicellular structure. Every constituent cell type makes an indispensable contribution to the BBB's integrity. But if one member of the BBB fails, and as a result the barrier breaks down, there can be dramatic consequences and neuroinflammation and neurodegeneration can occur. In this Review, we highlight recently gained mechanistic insights into the development and maintenance of the BBB. We then discuss how BBB disruption can cause or contribute to neurological disease. Finally, we examine how this knowledge can be used to explore new possibilities for BBB repair.","author":[{"dropping-particle":"","family":"Obermeier","given":"Birgit","non-dropping-particle":"","parse-names":false,"suffix":""},{"dropping-particle":"","family":"Daneman","given":"Richard","non-dropping-particle":"","parse-names":false,"suffix":""},{"dropping-particle":"","family":"Ransohoff","given":"Richard M","non-dropping-particle":"","parse-names":false,"suffix":""}],"container-title":"Nature medicine","id":"ITEM-1","issue":"12","issued":{"date-parts":[["2013","12"]]},"language":"eng","page":"1584-1596","publisher-place":"United States","title":"Development, maintenance and disruption of the blood-brain barrier.","type":"article-journal","volume":"19"},"uris":["http://www.mendeley.com/documents/?uuid=09a874ce-ab8b-4baf-906e-61b5878f98e6"]}],"mendeley":{"formattedCitation":"&lt;sup&gt;[1]&lt;/sup&gt;","plainTextFormattedCitation":"[1]","previouslyFormattedCitation":"&lt;sup&gt;[1]&lt;/sup&gt;"},"properties":{"noteIndex":0},"schema":"https://github.com/citation-style-language/schema/raw/master/csl-citation.json"}</w:instrText>
      </w:r>
      <w:r w:rsidR="00077DA7" w:rsidRPr="007526EC">
        <w:rPr>
          <w:color w:val="000000" w:themeColor="text1"/>
          <w:lang w:val="en-US"/>
        </w:rPr>
        <w:fldChar w:fldCharType="separate"/>
      </w:r>
      <w:r w:rsidR="00077DA7" w:rsidRPr="007526EC">
        <w:rPr>
          <w:noProof/>
          <w:color w:val="000000" w:themeColor="text1"/>
          <w:vertAlign w:val="superscript"/>
          <w:lang w:val="en-US"/>
        </w:rPr>
        <w:t>[1]</w:t>
      </w:r>
      <w:r w:rsidR="00077DA7" w:rsidRPr="007526EC">
        <w:rPr>
          <w:color w:val="000000" w:themeColor="text1"/>
          <w:lang w:val="en-US"/>
        </w:rPr>
        <w:fldChar w:fldCharType="end"/>
      </w:r>
      <w:r w:rsidRPr="007526EC">
        <w:rPr>
          <w:color w:val="000000" w:themeColor="text1"/>
          <w:lang w:val="en-US"/>
        </w:rPr>
        <w:t xml:space="preserve"> As such, the BBB poses a significant challenge for the pharmacological treatment of CNS diseases</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{"citationItems":[{"id":"ITEM-1","itemData":{"DOI":"https://doi.org/10.1016/j.addr.2019.11.009","ISSN":"0169-409X","abstract":"The blood-brain barrier (BBB) is a dynamic structure that functions as a gatekeeper, reflecting the unique requirements of the brain. In this review, following a brief historical overview of how the concepts of the BBB and the neurovascular unit (NVU) developed, we describe its physiology and architecture, which pose a particular challenge to therapeutic intervention. We then discuss how the restrictive nature of this barrier can be overcome for the delivery of therapeutic agents. Alterations to drug formulation offer one option, in part by utilizing distinct transport modes; another is invasive or non-invasive strategies to bypass the BBB. An emerging non-invasive technology for targeted drug delivery is focused ultrasound that allows for the safe and reversible disruption of the BBB. We discuss the underlying mechanisms and provide an outlook, emphasizing the need for more research into the NVU and investment in innovative technologies to overcome the BBB for drug delivery.","author":[{"dropping-particle":"","family":"Pandit","given":"Rucha","non-dropping-particle":"","parse-names":false,"suffix":""},{"dropping-particle":"","family":"Chen","given":"Liyu","non-dropping-particle":"","parse-names":false,"suffix":""},{"dropping-particle":"","family":"Götz","given":"Jürgen","non-dropping-particle":"","parse-names":false,"suffix":""}],"container-title":"Advanced Drug Delivery Reviews","id":"ITEM-1","issued":{"date-parts":[["2020"]]},"page":"1-14","title":"The blood-brain barrier: Physiology and strategies for drug delivery","type":"article-journal","volume":"165-166"},"uris":["http://www.mendeley.com/documents/?uuid=c61e1730-9d99-486e-b6bf-564e5295741b"]}],"mendeley":{"formattedCitation":"&lt;sup&gt;[2]&lt;/sup&gt;","plainTextFormattedCitation":"[2]","previouslyFormattedCitation":"&lt;sup&gt;[2]&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[2]</w:t>
      </w:r>
      <w:r w:rsidR="0098686A" w:rsidRPr="007526EC">
        <w:rPr>
          <w:color w:val="000000" w:themeColor="text1"/>
          <w:lang w:val="en-US"/>
        </w:rPr>
        <w:fldChar w:fldCharType="end"/>
      </w:r>
      <w:r w:rsidRPr="007526EC">
        <w:rPr>
          <w:color w:val="000000" w:themeColor="text1"/>
          <w:lang w:val="en-US"/>
        </w:rPr>
        <w:t xml:space="preserve"> such as glioblastoma (GBM)</w:t>
      </w:r>
      <w:r w:rsidR="0098686A" w:rsidRPr="007526EC">
        <w:rPr>
          <w:color w:val="000000" w:themeColor="text1"/>
          <w:lang w:val="en-US"/>
        </w:rPr>
        <w:t xml:space="preserve">. </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{"citationItems":[{"id":"ITEM-1","itemData":{"DOI":"10.1007/s11910-024-01338-x","ISSN":"1534-6293","abstract":"Glioblastoma remains resistant to most conventional treatments. Despite scientific advances in the past three decades, there has been a dearth of effective new treatments. New approaches to drug delivery and clinical trial design are needed.","author":[{"dropping-particle":"","family":"Narsinh","given":"Kazim H","non-dropping-particle":"","parse-names":false,"suffix":""},{"dropping-particle":"","family":"Perez","given":"Edgar","non-dropping-particle":"","parse-names":false,"suffix":""},{"dropping-particle":"","family":"Haddad","given":"Alexander F","non-dropping-particle":"","parse-names":false,"suffix":""},{"dropping-particle":"","family":"Young","given":"Jacob S","non-dropping-particle":"","parse-names":false,"suffix":""},{"dropping-particle":"","family":"Savastano","given":"Luis","non-dropping-particle":"","parse-names":false,"suffix":""},{"dropping-particle":"","family":"Villanueva-Meyer","given":"Javier E","non-dropping-particle":"","parse-names":false,"suffix":""},{"dropping-particle":"","family":"Winkler","given":"Ethan","non-dropping-particle":"","parse-names":false,"suffix":""},{"dropping-particle":"","family":"Groot","given":"John","non-dropping-particle":"de","parse-names":false,"suffix":""}],"container-title":"Current Neurology and Neuroscience Reports","id":"ITEM-1","issue":"5","issued":{"date-parts":[["2024"]]},"page":"123-139","title":"Strategies to Improve Drug Delivery Across the Blood–Brain Barrier for Glioblastoma","type":"article-journal","volume":"24"},"uris":["http://www.mendeley.com/documents/?uuid=ad3f2bb6-0204-4872-b664-9a4fd90a4661"]}],"mendeley":{"formattedCitation":"&lt;sup&gt;[3]&lt;/sup&gt;","plainTextFormattedCitation":"[3]","previouslyFormattedCitation":"&lt;sup&gt;[3]&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[3]</w:t>
      </w:r>
      <w:r w:rsidR="0098686A" w:rsidRPr="007526EC">
        <w:rPr>
          <w:color w:val="000000" w:themeColor="text1"/>
          <w:lang w:val="en-US"/>
        </w:rPr>
        <w:fldChar w:fldCharType="end"/>
      </w:r>
      <w:r w:rsidRPr="007526EC">
        <w:rPr>
          <w:color w:val="000000" w:themeColor="text1"/>
          <w:lang w:val="en-US"/>
        </w:rPr>
        <w:t xml:space="preserve"> GBM is the most common primary brain tumor in adults</w:t>
      </w:r>
      <w:r w:rsidR="005807B7" w:rsidRPr="007526EC">
        <w:rPr>
          <w:color w:val="000000" w:themeColor="text1"/>
          <w:lang w:val="en-US"/>
        </w:rPr>
        <w:fldChar w:fldCharType="begin" w:fldLock="1"/>
      </w:r>
      <w:r w:rsidR="00277626" w:rsidRPr="007526EC">
        <w:rPr>
          <w:color w:val="000000" w:themeColor="text1"/>
          <w:lang w:val="en-US"/>
        </w:rPr>
        <w:instrText>ADDIN CSL_CITATION {"citationItems":[{"id":"ITEM-1","itemData":{"DOI":"10.1016/B978-0-12-802997-8.00023-2","ISSN":"0072-9752 (Print)","PMID":"26948367","abstract":"Glioblastoma is the most common and aggressive primary brain tumor in adults.  Defining histopathologic features are necrosis and endothelial proliferation, resulting in the assignment of grade IV, the highest grade in the World Health Organization (WHO) classification of brain tumors. The classic clinical term \"secondary glioblastoma\" refers to a minority of glioblastomas that evolve from previously diagnosed WHO grade II or grade III gliomas. Specific point mutations of the genes encoding isocitrate dehydrogenase (IDH) 1 or 2 appear to define molecularly these tumors that are associated with younger age and more favorable outcome; the vast majority of glioblastomas are IDH wild-type. Typical molecular changes in glioblastoma include mutations in genes regulating receptor tyrosine kinase (RTK)/rat sarcoma (RAS)/phosphoinositide 3-kinase (PI3K), p53, and retinoblastoma protein (RB) signaling. Standard treatment of glioblastoma includes surgery, radiotherapy, and alkylating chemotherapy. Promoter methylation of the gene encoding the DNA repair protein, O(6)-methylguanyl DNA methyltransferase (MGMT), predicts benefit from alkylating chemotherapy with temozolomide and guides choice of first-line treatment in elderly patients. Current developments focus on targeting the molecular characteristics that drive the malignant phenotype, including altered signal transduction and angiogenesis, and more recently, various approaches of immunotherapy.","author":[{"dropping-particle":"","family":"Wirsching","given":"Hans-Georg","non-dropping-particle":"","parse-names":false,"suffix":""},{"dropping-particle":"","family":"Galanis","given":"Evanthia","non-dropping-particle":"","parse-names":false,"suffix":""},{"dropping-particle":"","family":"Weller","given":"Michael","non-dropping-particle":"","parse-names":false,"suffix":""}],"container-title":"Handbook of clinical neurology","id":"ITEM-1","issued":{"date-parts":[["2016"]]},"language":"eng","page":"381-397","publisher-place":"Netherlands","title":"Glioblastoma.","type":"article-journal","volume":"134"},"uris":["http://www.mendeley.com/documents/?uuid=b8d21381-f842-43fa-bd65-6441c9281f28"]}],"mendeley":{"formattedCitation":"&lt;sup&gt;[4]&lt;/sup&gt;","plainTextFormattedCitation":"[4]","previouslyFormattedCitation":"&lt;sup&gt;[4]&lt;/sup&gt;"},"properties":{"noteIndex":0},"schema":"https://github.com/citation-style-language/schema/raw/master/csl-citation.json"}</w:instrText>
      </w:r>
      <w:r w:rsidR="005807B7" w:rsidRPr="007526EC">
        <w:rPr>
          <w:color w:val="000000" w:themeColor="text1"/>
          <w:lang w:val="en-US"/>
        </w:rPr>
        <w:fldChar w:fldCharType="separate"/>
      </w:r>
      <w:r w:rsidR="005807B7" w:rsidRPr="007526EC">
        <w:rPr>
          <w:noProof/>
          <w:color w:val="000000" w:themeColor="text1"/>
          <w:vertAlign w:val="superscript"/>
          <w:lang w:val="en-US"/>
        </w:rPr>
        <w:t>[4]</w:t>
      </w:r>
      <w:r w:rsidR="005807B7" w:rsidRPr="007526EC">
        <w:rPr>
          <w:color w:val="000000" w:themeColor="text1"/>
          <w:lang w:val="en-US"/>
        </w:rPr>
        <w:fldChar w:fldCharType="end"/>
      </w:r>
      <w:r w:rsidR="005807B7" w:rsidRPr="007526EC">
        <w:rPr>
          <w:color w:val="000000" w:themeColor="text1"/>
          <w:lang w:val="en-US"/>
        </w:rPr>
        <w:t xml:space="preserve"> </w:t>
      </w:r>
      <w:r w:rsidRPr="007526EC">
        <w:rPr>
          <w:color w:val="000000" w:themeColor="text1"/>
          <w:lang w:val="en-US"/>
        </w:rPr>
        <w:t>and carries a very dismal prognosis.</w:t>
      </w:r>
      <w:r w:rsidR="00B925D6" w:rsidRPr="007526EC">
        <w:rPr>
          <w:color w:val="000000" w:themeColor="text1"/>
          <w:lang w:val="en-US"/>
        </w:rPr>
        <w:fldChar w:fldCharType="begin" w:fldLock="1"/>
      </w:r>
      <w:r w:rsidR="00277626" w:rsidRPr="007526EC">
        <w:rPr>
          <w:color w:val="000000" w:themeColor="text1"/>
          <w:lang w:val="en-US"/>
        </w:rPr>
        <w:instrText>ADDIN CSL_CITATION {"citationItems":[{"id":"ITEM-1","itemData":{"DOI":"10.1016/j.jocn.2018.05.002","ISSN":"1532-2653 (Electronic)","PMID":"29801989","abstract":"Glioblastoma (GBM) is among the most deadly neoplasms associated with one of the  worst 5-year overall survival (OS) rates among all human cancers. The aim of this systematic review is to present all cases with OS of a decade or more and to perform a descriptive analysis of the group. This systematic review was conducted in compliance with the Preferred Reporting Items for Systematic Reviews and Meta-Analyses (PRISMA) guideline. A comprehensive search for relevant articles was performed on PubMed, Embase and Google Scholar for a period until June 10, 2016, using the following search words: glioblastoma multiforme, glioblastoma, GBM, long-term survival/survivors. Reports containing cases with the long-term survival of 10 years or longer were included in the review. The search produced 36 studies with 162 cases published in the years 1950-2014. The rate of long survivors in the cohort studied was established 0.76%. Mean age at diagnosis, OS and PFS were 31.1 ± 11.1, 15.9 ± 6.3, 11.9 ± 5.6 years respectively. Total and subtotal resections were found in 82 and 58 patients respectively. Nine cases received a biopsy alone. No statistical differences were found in a comparison of PFS, OS and age between total and subtotal resection groups. A regression analysis showed a significant correlation between PFS and OS, with an inverse relationship stated between age at diagnosis and OS. The 10-year survival rate in the cohort studied with GBM was estimated 0.71%. OS was positively correlated with the length of PFS and inversely related with age at diagnosis.","author":[{"dropping-particle":"","family":"Tykocki","given":"Tomasz","non-dropping-particle":"","parse-names":false,"suffix":""},{"dropping-particle":"","family":"Eltayeb","given":"Mohamed","non-dropping-particle":"","parse-names":false,"suffix":""}],"container-title":"Journal of clinical neuroscience : official journal of the Neurosurgical Society  of Australasia","id":"ITEM-1","issued":{"date-parts":[["2018","8"]]},"language":"eng","page":"7-13","publisher-place":"Scotland","title":"Ten-year survival in glioblastoma. A systematic review.","type":"article-journal","volume":"54"},"uris":["http://www.mendeley.com/documents/?uuid=ade978de-91ea-47f3-9c95-5e9e3505b247"]}],"mendeley":{"formattedCitation":"&lt;sup&gt;[5]&lt;/sup&gt;","plainTextFormattedCitation":"[5]","previouslyFormattedCitation":"&lt;sup&gt;[5]&lt;/sup&gt;"},"properties":{"noteIndex":0},"schema":"https://github.com/citation-style-language/schema/raw/master/csl-citation.json"}</w:instrText>
      </w:r>
      <w:r w:rsidR="00B925D6" w:rsidRPr="007526EC">
        <w:rPr>
          <w:color w:val="000000" w:themeColor="text1"/>
          <w:lang w:val="en-US"/>
        </w:rPr>
        <w:fldChar w:fldCharType="separate"/>
      </w:r>
      <w:r w:rsidR="005807B7" w:rsidRPr="007526EC">
        <w:rPr>
          <w:noProof/>
          <w:color w:val="000000" w:themeColor="text1"/>
          <w:vertAlign w:val="superscript"/>
          <w:lang w:val="en-US"/>
        </w:rPr>
        <w:t>[5]</w:t>
      </w:r>
      <w:r w:rsidR="00B925D6" w:rsidRPr="007526EC">
        <w:rPr>
          <w:color w:val="000000" w:themeColor="text1"/>
          <w:lang w:val="en-US"/>
        </w:rPr>
        <w:fldChar w:fldCharType="end"/>
      </w:r>
      <w:r w:rsidRPr="007526EC">
        <w:rPr>
          <w:color w:val="000000" w:themeColor="text1"/>
          <w:lang w:val="en-US"/>
        </w:rPr>
        <w:t xml:space="preserve"> Despite some progress with chimeric antigen receptor (CAR)-T cell therapies, immunotherapy remains largely ineffective against GBM.</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{"citationItems":[{"id":"ITEM-1","itemData":{"DOI":"10.1007/s11060-020-03448-1","ISSN":"1573-7373 (Electronic)","PMID":"32253714","abstract":"INTRODUCTION: Glioblastoma is a very aggressive cancer with dismal prognosis  despite standard of care including surgical resection, radiation therapy, and chemotherapy. There is interest in applying immunotherapy to glioblastoma as this modality has demonstrated remarkable improvements in the management of several solid tumors including melanoma, renal cell carcinoma, and non-small cell lung cancer. This review aims to provide an overview of the current state of glioblastoma immunotherapy. METHODS: Literature search was performed on PubMed between 1961 and 2020. RESULTS: Initial clinical trials of checkpoint inhibitors and vaccine therapy for glioblastoma have largely been disappointing for both primary and recurrent glioblastoma. This failure has been attributed to glioblastoma's highly immunosuppressive environment and multiple mechanisms of therapy resistance including high tumor heterogeneity, low mutational burden, systemic immunosuppression, and local immune dysfunction. CONCLUSIONS: Current clinical trials are exploring combination therapy and novel treatment strategies beyond immune checkpoint therapies and vaccine therapy such as CAR T cells. There is also an effort to establish synergy between immunotherapy and current standard of care. Furthermore, recent advances in personalized neoantigen vaccines suggest a shift towards personalized, patient-specific GBM treatment.","author":[{"dropping-particle":"","family":"Medikonda","given":"Ravi","non-dropping-particle":"","parse-names":false,"suffix":""},{"dropping-particle":"","family":"Dunn","given":"Gavin","non-dropping-particle":"","parse-names":false,"suffix":""},{"dropping-particle":"","family":"Rahman","given":"Maryam","non-dropping-particle":"","parse-names":false,"suffix":""},{"dropping-particle":"","family":"Fecci","given":"Peter","non-dropping-particle":"","parse-names":false,"suffix":""},{"dropping-particle":"","family":"Lim","given":"Michael","non-dropping-particle":"","parse-names":false,"suffix":""}],"container-title":"Journal of neuro-oncology","id":"ITEM-1","issue":"1","issued":{"date-parts":[["2021","1"]]},"language":"eng","page":"41-53","publisher-place":"United States","title":"A review of glioblastoma immunotherapy.","type":"article-journal","volume":"151"},"uris":["http://www.mendeley.com/documents/?uuid=db4bf986-144a-4f9b-b893-bc54eaba2508"]},{"id":"ITEM-2","itemData":{"DOI":"10.1093/neuonc/noac024","ISSN":"1522-8517","abstract":"Wide-spread application of chimeric antigen receptor (CAR) T cell therapy for cancer is limited by the current use of autologous CAR T cells necessitating the manufacture of individualized therapeutic products for each patient. To address this challenge, we have generated an off-the-shelf, allogeneic CAR T cell product for the treatment of glioblastoma (GBM), and present here the feasibility, safety, and therapeutic potential of this approach.We generated for clinical use a healthy-donor derived IL13Rα2-targeted CAR+ (IL13-zetakine+) cytolytic T-lymphocyte (CTL) product genetically engineered using zinc finger nucleases (ZFNs) to permanently disrupt the glucocorticoid receptor (GR) (GRm13Z40-2) and endow resistance to glucocorticoid treatment. In a phase I safety and feasibility trial we evaluated these allogeneic GRm13Z40-2 T cells in combination with intracranial administration of recombinant human IL-2 (rhIL-2; aldesleukin) in six patients with unresectable recurrent GBM that were maintained on systemic dexamethasone (4-12 mg/day).The GRm13Z40-2 product displayed dexamethasone-resistant effector activity without evidence for in vitro alloreactivity. Intracranial administration of GRm13Z40-2 in four doses of 108 cells over a two-week period with aldesleukin (9 infusions ranging from 2500–5000 IU) was well tolerated, with indications of transient tumor reduction and/or tumor necrosis at the site of T cell infusion in four of the six treated research subjects. Antibody reactivity against GRm13Z40-2 cells was detected in the serum of only one of the four tested subjects.This first-in-human experience establishes a foundation for future adoptive therapy studies using off-the-shelf, zinc-finger modified, and/or glucocorticoid resistant CAR T cells.","author":[{"dropping-particle":"","family":"Brown","given":"Christine E","non-dropping-particle":"","parse-names":false,"suffix":""},{"dropping-particle":"","family":"Rodriguez","given":"Analiz","non-dropping-particle":"","parse-names":false,"suffix":""},{"dropping-particle":"","family":"Palmer","given":"Joycelynne","non-dropping-particle":"","parse-names":false,"suffix":""},{"dropping-particle":"","family":"Ostberg","given":"Julie R","non-dropping-particle":"","parse-names":false,"suffix":""},{"dropping-particle":"","family":"Naranjo","given":"Araceli","non-dropping-particle":"","parse-names":false,"suffix":""},{"dropping-particle":"","family":"Wagner","given":"Jamie R","non-dropping-particle":"","parse-names":false,"suffix":""},{"dropping-particle":"","family":"Aguilar","given":"Brenda","non-dropping-particle":"","parse-names":false,"suffix":""},{"dropping-particle":"","family":"Starr","given":"Renate","non-dropping-particle":"","parse-names":false,"suffix":""},{"dropping-particle":"","family":"Weng","given":"Lihong","non-dropping-particle":"","parse-names":false,"suffix":""},{"dropping-particle":"","family":"Synold","given":"Timothy W","non-dropping-particle":"","parse-names":false,"suffix":""},{"dropping-particle":"","family":"Tran","given":"Vivi","non-dropping-particle":"","parse-names":false,"suffix":""},{"dropping-particle":"","family":"Wang","given":"Shelley","non-dropping-particle":"","parse-names":false,"suffix":""},{"dropping-particle":"","family":"Reik","given":"Andreas","non-dropping-particle":"","parse-names":false,"suffix":""},{"dropping-particle":"","family":"D’Apuzzo","given":"Massimo","non-dropping-particle":"","parse-names":false,"suffix":""},{"dropping-particle":"","family":"Ressler","given":"Julie A","non-dropping-particle":"","parse-names":false,"suffix":""},{"dropping-particle":"","family":"Zhou","given":"Yuanyue","non-dropping-particle":"","parse-names":false,"suffix":""},{"dropping-particle":"","family":"Mendel","given":"Matthew","non-dropping-particle":"","parse-names":false,"suffix":""},{"dropping-particle":"","family":"Gregory","given":"Philip D","non-dropping-particle":"","parse-names":false,"suffix":""},{"dropping-particle":"","family":"Holmes","given":"Michael C","non-dropping-particle":"","parse-names":false,"suffix":""},{"dropping-particle":"","family":"Tang","given":"Winson W","non-dropping-particle":"","parse-names":false,"suffix":""},{"dropping-particle":"","family":"Forman","given":"Stephen J","non-dropping-particle":"","parse-names":false,"suffix":""},{"dropping-particle":"","family":"Jensen","given":"Michael C","non-dropping-particle":"","parse-names":false,"suffix":""},{"dropping-particle":"","family":"Badie","given":"Behnam","non-dropping-particle":"","parse-names":false,"suffix":""}],"container-title":"Neuro-Oncology","id":"ITEM-2","issue":"8","issued":{"date-parts":[["2022"]]},"page":"1318-1330","title":"Off-the-shelf, steroid-resistant, IL13Rα2-specific CAR T cells for treatment of glioblastoma","type":"article-journal","volume":"24"},"uris":["http://www.mendeley.com/documents/?uuid=07d6f186-3cd0-4b78-b145-e9f4c05e56f6"]}],"mendeley":{"formattedCitation":"&lt;sup&gt;[6,7]&lt;/sup&gt;","plainTextFormattedCitation":"[6,7]","previouslyFormattedCitation":"&lt;sup&gt;[6,7]&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[6,7]</w:t>
      </w:r>
      <w:r w:rsidR="0098686A" w:rsidRPr="007526EC">
        <w:rPr>
          <w:color w:val="000000" w:themeColor="text1"/>
          <w:lang w:val="en-US"/>
        </w:rPr>
        <w:fldChar w:fldCharType="end"/>
      </w:r>
      <w:r w:rsidRPr="007526EC">
        <w:rPr>
          <w:color w:val="000000" w:themeColor="text1"/>
          <w:lang w:val="en-US"/>
        </w:rPr>
        <w:t xml:space="preserve"> This is due to multiple factors including inactivation by the tumor microenvironment, target antigen heterogeneity, and limited trafficking across the BBB, often necessitating intraventricular administration.</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{"citationItems":[{"id":"ITEM-1","itemData":{"DOI":"10.1126/scitranslmed.aaa0984","ISSN":"1946-6242 (Electronic)","PMID":"28724573","abstract":"We conducted a first-in-human study of intravenous delivery of a single dose of  autologous T cells redirected to the epidermal growth factor receptor variant III (EGFRvIII) mutation by a chimeric antigen receptor (CAR). We report our findings on the first 10 recurrent glioblastoma (GBM) patients treated. We found that manufacturing and infusion of CAR-modified T cell (CART)-EGFRvIII cells are feasible and safe, without evidence of off-tumor toxicity or cytokine release syndrome. One patient has had residual stable disease for over 18 months of follow-up. All patients demonstrated detectable transient expansion of CART-EGFRvIII cells in peripheral blood. Seven patients had post-CART-EGFRvIII surgical intervention, which allowed for tissue-specific analysis of CART-EGFRvIII trafficking to the tumor, phenotyping of tumor-infiltrating T cells and the tumor microenvironment in situ, and analysis of post-therapy EGFRvIII target antigen expression. Imaging findings after CART immunotherapy were complex to interpret, further reinforcing the need for pathologic sampling in infused patients. We found trafficking of CART-EGFRvIII cells to regions of active GBM, with antigen decrease in five of these seven patients. In situ evaluation of the tumor environment demonstrated increased and robust expression of inhibitory molecules and infiltration by regulatory T cells after CART-EGFRvIII infusion, compared to pre-CART-EGFRvIII infusion tumor specimens. Our initial experience with CAR T cells in recurrent GBM suggests that although intravenous infusion results in on-target activity in the brain, overcoming the adaptive changes in the local tumor microenvironment and addressing the antigen heterogeneity may improve the efficacy of EGFRvIII-directed strategies in GBM.","author":[{"dropping-particle":"","family":"O'Rourke","given":"Donald M","non-dropping-particle":"","parse-names":false,"suffix":""},{"dropping-particle":"","family":"Nasrallah","given":"MacLean P","non-dropping-particle":"","parse-names":false,"suffix":""},{"dropping-particle":"","family":"Desai","given":"Arati","non-dropping-particle":"","parse-names":false,"suffix":""},{"dropping-particle":"","family":"Melenhorst","given":"Jan J","non-dropping-particle":"","parse-names":false,"suffix":""},{"dropping-particle":"","family":"Mansfield","given":"Keith","non-dropping-particle":"","parse-names":false,"suffix":""},{"dropping-particle":"","family":"Morrissette","given":"Jennifer J D","non-dropping-particle":"","parse-names":false,"suffix":""},{"dropping-particle":"","family":"Martinez-Lage","given":"Maria","non-dropping-particle":"","parse-names":false,"suffix":""},{"dropping-particle":"","family":"Brem","given":"Steven","non-dropping-particle":"","parse-names":false,"suffix":""},{"dropping-particle":"","family":"Maloney","given":"Eileen","non-dropping-particle":"","parse-names":false,"suffix":""},{"dropping-particle":"","family":"Shen","given":"Angela","non-dropping-particle":"","parse-names":false,"suffix":""},{"dropping-particle":"","family":"Isaacs","given":"Randi","non-dropping-particle":"","parse-names":false,"suffix":""},{"dropping-particle":"","family":"Mohan","given":"Suyash","non-dropping-particle":"","parse-names":false,"suffix":""},{"dropping-particle":"","family":"Plesa","given":"Gabriela","non-dropping-particle":"","parse-names":false,"suffix":""},{"dropping-particle":"","family":"Lacey","given":"Simon F","non-dropping-particle":"","parse-names":false,"suffix":""},{"dropping-particle":"","family":"Navenot","given":"Jean-Marc","non-dropping-particle":"","parse-names":false,"suffix":""},{"dropping-particle":"","family":"Zheng","given":"Zhaohui","non-dropping-particle":"","parse-names":false,"suffix":""},{"dropping-particle":"","family":"Levine","given":"Bruce L","non-dropping-particle":"","parse-names":false,"suffix":""},{"dropping-particle":"","family":"Okada","given":"Hideho","non-dropping-particle":"","parse-names":false,"suffix":""},{"dropping-particle":"","family":"June","given":"Carl H","non-dropping-particle":"","parse-names":false,"suffix":""},{"dropping-particle":"","family":"Brogdon","given":"Jennifer L","non-dropping-particle":"","parse-names":false,"suffix":""},{"dropping-particle":"V","family":"Maus","given":"Marcela","non-dropping-particle":"","parse-names":false,"suffix":""}],"container-title":"Science translational medicine","id":"ITEM-1","issue":"399","issued":{"date-parts":[["2017","7"]]},"language":"eng","publisher-place":"United States","title":"A single dose of peripherally infused EGFRvIII-directed CAR T cells mediates  antigen loss and induces adaptive resistance in patients with recurrent glioblastoma.","type":"article-journal","volume":"9"},"uris":["http://www.mendeley.com/documents/?uuid=4c9d5747-a6c3-4c81-b74e-0be0d73d3c3d"]},{"id":"ITEM-2","itemData":{"DOI":"10.1056/NEJMoa2314390","ISSN":"1533-4406 (Electronic)","PMID":"38477966","abstract":"In this first-in-human, investigator-initiated, open-label study, three  participants with recurrent glioblastoma were treated with CARv3-TEAM-E T cells, which are chimeric antigen receptor (CAR) T cells engineered to target the epidermal growth factor receptor (EGFR) variant III tumor-specific antigen, as well as the wild-type EGFR protein, through secretion of a T-cell-engaging antibody molecule (TEAM). Treatment with CARv3-TEAM-E T cells did not result in adverse events greater than grade 3 or dose-limiting toxic effects. Radiographic tumor regression was dramatic and rapid, occurring within days after receipt of a single intraventricular infusion, but the responses were transient in two of the three participants. (Funded by Gateway for Cancer Research and others; INCIPIENT ClinicalTrials.gov number, NCT05660369.).","author":[{"dropping-particle":"","family":"Choi","given":"Bryan D","non-dropping-particle":"","parse-names":false,"suffix":""},{"dropping-particle":"","family":"Gerstner","given":"Elizabeth R","non-dropping-particle":"","parse-names":false,"suffix":""},{"dropping-particle":"","family":"Frigault","given":"Matthew J","non-dropping-particle":"","parse-names":false,"suffix":""},{"dropping-particle":"","family":"Leick","given":"Mark B","non-dropping-particle":"","parse-names":false,"suffix":""},{"dropping-particle":"","family":"Mount","given":"Christopher W","non-dropping-particle":"","parse-names":false,"suffix":""},{"dropping-particle":"","family":"Balaj","given":"Leonora","non-dropping-particle":"","parse-names":false,"suffix":""},{"dropping-particle":"","family":"Nikiforow","given":"Sarah","non-dropping-particle":"","parse-names":false,"suffix":""},{"dropping-particle":"","family":"Carter","given":"Bob S","non-dropping-particle":"","parse-names":false,"suffix":""},{"dropping-particle":"","family":"Curry","given":"William T","non-dropping-particle":"","parse-names":false,"suffix":""},{"dropping-particle":"","family":"Gallagher","given":"Kathleen","non-dropping-particle":"","parse-names":false,"suffix":""},{"dropping-particle":"V","family":"Maus","given":"Marcela","non-dropping-particle":"","parse-names":false,"suffix":""}],"container-title":"The New England journal of medicine","id":"ITEM-2","issue":"14","issued":{"date-parts":[["2024","4"]]},"language":"eng","page":"1290-1298","publisher-place":"United States","title":"Intraventricular CARv3-TEAM-E T Cells in Recurrent Glioblastoma.","type":"article-journal","volume":"390"},"uris":["http://www.mendeley.com/documents/?uuid=acb20feb-3903-4333-acce-9fac2a16e2b2"]}],"mendeley":{"formattedCitation":"&lt;sup&gt;[8,9]&lt;/sup&gt;","plainTextFormattedCitation":"[8,9]","previouslyFormattedCitation":"&lt;sup&gt;[8,9]&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[8,9]</w:t>
      </w:r>
      <w:r w:rsidR="0098686A" w:rsidRPr="007526EC">
        <w:rPr>
          <w:color w:val="000000" w:themeColor="text1"/>
          <w:lang w:val="en-US"/>
        </w:rPr>
        <w:fldChar w:fldCharType="end"/>
      </w:r>
    </w:p>
    <w:p w14:paraId="54486D93" w14:textId="7E087A9A" w:rsidR="004E4E2A" w:rsidRPr="007526EC" w:rsidRDefault="00C71874">
      <w:pPr>
        <w:spacing w:line="276" w:lineRule="auto"/>
        <w:jc w:val="both"/>
        <w:rPr>
          <w:color w:val="000000" w:themeColor="text1"/>
          <w:lang w:val="en-US"/>
        </w:rPr>
      </w:pPr>
      <w:r w:rsidRPr="007526EC">
        <w:rPr>
          <w:color w:val="000000" w:themeColor="text1"/>
          <w:lang w:val="en-US"/>
        </w:rPr>
        <w:t xml:space="preserve">Oncolytic viruses (OVs) are naturally occurring or engineered viruses that selectively replicate in cancer cells by exploiting deficiencies in antiviral </w:t>
      </w:r>
      <w:r w:rsidR="004E4E2A" w:rsidRPr="007526EC">
        <w:rPr>
          <w:color w:val="000000" w:themeColor="text1"/>
          <w:lang w:val="en-US"/>
        </w:rPr>
        <w:t>defense</w:t>
      </w:r>
      <w:r w:rsidRPr="007526EC">
        <w:rPr>
          <w:color w:val="000000" w:themeColor="text1"/>
          <w:lang w:val="en-US"/>
        </w:rPr>
        <w:t xml:space="preserve"> pathways.</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{"citationItems":[{"id":"ITEM-1","itemData":{"DOI":"10.1038/nbt.2287","ISSN":"1546-1696 (Electronic)","PMID":"22781695","abstract":"Oncolytic virotherapy is an emerging treatment modality that uses  replication-competent viruses to destroy cancers. Recent advances include preclinical proof of feasibility for a single-shot virotherapy cure, identification of drugs that accelerate intratumoral virus propagation, strategies to maximize the immunotherapeutic action of oncolytic viruses and clinical confirmation of a critical viremic threshold for vascular delivery and intratumoral virus replication. The primary clinical milestone has been completion of accrual in a phase 3 trial of intratumoral herpes simplex virus therapy using talimogene laherparepvec for metastatic melanoma. Key challenges for the field are to select 'winners' from a burgeoning number of oncolytic platforms and engineered derivatives, to transiently suppress but then unleash the power of the immune system to maximize both virus spread and anticancer immunity, to develop more meaningful preclinical virotherapy models and to manufacture viruses with orders-of-magnitude higher yields than is currently possible.","author":[{"dropping-particle":"","family":"Russell","given":"Stephen J","non-dropping-particle":"","parse-names":false,"suffix":""},{"dropping-particle":"","family":"Peng","given":"Kah-Whye","non-dropping-particle":"","parse-names":false,"suffix":""},{"dropping-particle":"","family":"Bell","given":"John C","non-dropping-particle":"","parse-names":false,"suffix":""}],"container-title":"Nature biotechnology","id":"ITEM-1","issue":"7","issued":{"date-parts":[["2012","7"]]},"language":"eng","page":"658-670","publisher-place":"United States","title":"Oncolytic virotherapy.","type":"article-journal","volume":"30"},"uris":["http://www.mendeley.com/documents/?uuid=3af44096-af2c-4c48-8718-d59dc73a48f6"]}],"mendeley":{"formattedCitation":"&lt;sup&gt;[10]&lt;/sup&gt;","plainTextFormattedCitation":"[10]","previouslyFormattedCitation":"&lt;sup&gt;[10]&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[10]</w:t>
      </w:r>
      <w:r w:rsidR="0098686A" w:rsidRPr="007526EC">
        <w:rPr>
          <w:color w:val="000000" w:themeColor="text1"/>
          <w:lang w:val="en-US"/>
        </w:rPr>
        <w:fldChar w:fldCharType="end"/>
      </w:r>
      <w:r w:rsidRPr="007526EC">
        <w:rPr>
          <w:color w:val="000000" w:themeColor="text1"/>
          <w:lang w:val="en-US"/>
        </w:rPr>
        <w:t xml:space="preserve"> These agents offer a multifaceted therapeutic approach that includes direct tumor lysis, immune activation, and gene delivery.</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{"citationItems":[{"id":"ITEM-1","itemData":{"DOI":"10.1186/s13027-018-0218-1","ISSN":"1750-9378","abstract":"With few exceptions, current chemotherapy and radiotherapy protocols only obtain a slightly prolonged survival with severe adverse effects in patients with advanced solid tumors. In particular, most solid malignancies not amenable to radical surgery still carry a dismal prognosis, which unfortunately is also the case for relapsing disease after surgery. Even though targeted therapies obtained good results, clinical experience showed that tumors eventually develop resistance. On the other hand, earlier attempts of cancer immunotherapy failed to show consistent efficacy. More recently, a deeper knowledge of immunosuppression in the tumor microenvironment (TME) allowed the development of effective drugs: in particular, monoclonal antibodies targeting the so-called immune checkpoint molecules yielded striking and lasting effects in some tumors. Unfortunately, these monoclonal antibodies are not effective in a majority of patients and are ineffective in several solid malignancies. Furthermore, due to their mechanism of action, checkpoint inhibitors often elicit autoimmune-like disease.","author":[{"dropping-particle":"","family":"Reale","given":"Alberto","non-dropping-particle":"","parse-names":false,"suffix":""},{"dropping-particle":"","family":"Vitiello","given":"Adriana","non-dropping-particle":"","parse-names":false,"suffix":""},{"dropping-particle":"","family":"Conciatori","given":"Valeria","non-dropping-particle":"","parse-names":false,"suffix":""},{"dropping-particle":"","family":"Parolin","given":"Cristina","non-dropping-particle":"","parse-names":false,"suffix":""},{"dropping-particle":"","family":"Calistri","given":"Arianna","non-dropping-particle":"","parse-names":false,"suffix":""},{"dropping-particle":"","family":"Palù","given":"Giorgio","non-dropping-particle":"","parse-names":false,"suffix":""}],"container-title":"Infectious Agents and Cancer","id":"ITEM-1","issue":"1","issued":{"date-parts":[["2019"]]},"page":"5","title":"Perspectives on immunotherapy via oncolytic viruses","type":"article-journal","volume":"14"},"uris":["http://www.mendeley.com/documents/?uuid=9700d64c-52f1-436c-b928-8fd411beb18b"]}],"mendeley":{"formattedCitation":"&lt;sup&gt;[11]&lt;/sup&gt;","plainTextFormattedCitation":"[11]","previouslyFormattedCitation":"&lt;sup&gt;[11]&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[11]</w:t>
      </w:r>
      <w:r w:rsidR="0098686A" w:rsidRPr="007526EC">
        <w:rPr>
          <w:color w:val="000000" w:themeColor="text1"/>
          <w:lang w:val="en-US"/>
        </w:rPr>
        <w:fldChar w:fldCharType="end"/>
      </w:r>
      <w:r w:rsidRPr="007526EC">
        <w:rPr>
          <w:color w:val="000000" w:themeColor="text1"/>
          <w:vertAlign w:val="superscript"/>
          <w:lang w:val="en-US"/>
        </w:rPr>
        <w:t xml:space="preserve"> </w:t>
      </w:r>
      <w:r w:rsidRPr="007526EC">
        <w:rPr>
          <w:color w:val="000000" w:themeColor="text1"/>
          <w:lang w:val="en-US"/>
        </w:rPr>
        <w:t xml:space="preserve">While </w:t>
      </w:r>
      <w:proofErr w:type="spellStart"/>
      <w:r w:rsidRPr="007526EC">
        <w:rPr>
          <w:color w:val="000000" w:themeColor="text1"/>
          <w:lang w:val="en-US"/>
        </w:rPr>
        <w:t>talimogene</w:t>
      </w:r>
      <w:proofErr w:type="spellEnd"/>
      <w:r w:rsidRPr="007526EC">
        <w:rPr>
          <w:color w:val="000000" w:themeColor="text1"/>
          <w:lang w:val="en-US"/>
        </w:rPr>
        <w:t xml:space="preserve"> </w:t>
      </w:r>
      <w:proofErr w:type="spellStart"/>
      <w:r w:rsidRPr="007526EC">
        <w:rPr>
          <w:color w:val="000000" w:themeColor="text1"/>
          <w:lang w:val="en-US"/>
        </w:rPr>
        <w:t>laherparepvec</w:t>
      </w:r>
      <w:proofErr w:type="spellEnd"/>
      <w:r w:rsidRPr="007526EC">
        <w:rPr>
          <w:color w:val="000000" w:themeColor="text1"/>
          <w:lang w:val="en-US"/>
        </w:rPr>
        <w:t xml:space="preserve"> (T-VEC), an oHSV-1-based OV, is approved for the treatment of melanoma,</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{"citationItems":[{"id":"ITEM-1","itemData":{"DOI":"10.1080/21645515.2017.1412896","ISSN":"2164-554X (Electronic)","PMID":"29420123","abstract":"Oncolytic viruses represent a novel drug class in which native or modified  viruses mediate tumor regression through selective replication within and lysis of tumor cells as well as induction of systemic antitumor immunity capable of eradicating tumor at distant, uninjected sites. Talimogene laherparepvec (TVEC) is a type I herpes simplex virus genetically modified to preferentially replicate in tumor cells, enhance antigen loading of MHC class I molecules and express granulocyte-macrophage colony-stimulating factor to increase tumor-antigen presentation by dendritic cells. It is presently the only oncolytic virus approved by the FDA with an indication for advanced melanoma based upon improved durable response rate in a randomized, phase III trial. Clinical trials are underway in melanoma investigating TVEC as neoadjuvant monotherapy and in combination with checkpoint inhibitors for unresectable disease as well as in an array of other malignancies. It is appropriate to review TVEC's biology mechanism of action, clinical indication and future directions as a prototype of the burgeoning class of oncolytic viruses.","author":[{"dropping-particle":"","family":"Conry","given":"Robert M","non-dropping-particle":"","parse-names":false,"suffix":""},{"dropping-particle":"","family":"Westbrook","given":"Brian","non-dropping-particle":"","parse-names":false,"suffix":""},{"dropping-particle":"","family":"McKee","given":"Svetlana","non-dropping-particle":"","parse-names":false,"suffix":""},{"dropping-particle":"","family":"Norwood","given":"Timothy Graham","non-dropping-particle":"","parse-names":false,"suffix":""}],"container-title":"Human vaccines &amp; immunotherapeutics","id":"ITEM-1","issue":"4","issued":{"date-parts":[["2018","4"]]},"language":"eng","page":"839-846","publisher-place":"United States","title":"Talimogene laherparepvec: First in class oncolytic virotherapy.","type":"article-journal","volume":"14"},"uris":["http://www.mendeley.com/documents/?uuid=6dac9bb0-d4e6-457e-b9ee-00f40ace1399"]}],"mendeley":{"formattedCitation":"&lt;sup&gt;[12]&lt;/sup&gt;","plainTextFormattedCitation":"[12]","previouslyFormattedCitation":"&lt;sup&gt;[12]&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[12]</w:t>
      </w:r>
      <w:r w:rsidR="0098686A" w:rsidRPr="007526EC">
        <w:rPr>
          <w:color w:val="000000" w:themeColor="text1"/>
          <w:lang w:val="en-US"/>
        </w:rPr>
        <w:fldChar w:fldCharType="end"/>
      </w:r>
      <w:r w:rsidRPr="007526EC">
        <w:rPr>
          <w:color w:val="000000" w:themeColor="text1"/>
          <w:vertAlign w:val="superscript"/>
          <w:lang w:val="en-US"/>
        </w:rPr>
        <w:t xml:space="preserve"> </w:t>
      </w:r>
      <w:r w:rsidRPr="007526EC">
        <w:rPr>
          <w:color w:val="000000" w:themeColor="text1"/>
          <w:lang w:val="en-US"/>
        </w:rPr>
        <w:t>another oHSV-1 has recently been authorized in Japan for GBM following promising clinical trials.</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{"citationItems":[{"id":"ITEM-1","itemData":{"DOI":"10.1038/s41591-022-01897-x","ISSN":"1546-170X (Electronic)","PMID":"35864254","abstract":"This investigator-initiated, phase 2, single-arm trial primarily assessed the  efficacy of G47∆, a triple-mutated, third-generation oncolytic herpes simplex virus type 1, in 19 adult patients with residual or recurrent, supratentorial glioblastoma after radiation therapy and temozolomide (UMIN-CTR Clinical Trial Registry UMIN000015995). G47Δ was administered intratumorally and repeatedly for up to six doses. The primary endpoint of 1-yr survival rate after G47∆ initiation was 84.2% (95% confidence interval, 60.4-96.6; 16 of 19). The prespecified endpoint was met and the trial was terminated early. Regarding secondary endpoints, the median overall survival was 20.2 (16.8-23.6) months after G47∆ initiation and 28.8 (20.1-37.5) months from the initial surgery. The most common G47∆-related adverse event was fever (17 of 19) followed by vomiting, nausea, lymphocytopenia and leukopenia. On magnetic resonance imaging, enlargement of and contrast-enhancement clearing within the target lesion repeatedly occurred after each G47∆ administration, which was characteristic to this therapy. Thus, the best overall response in 2 yr was partial response in one patient and stable disease in 18 patients. Biopsies revealed increasing numbers of tumor-infiltrating CD4(+)/CD8(+) lymphocytes and persistent low numbers of Foxp3(+) cells. This study showed a survival benefit and good safety profile, which led to the approval of G47∆ as the first oncolytic virus product in Japan.","author":[{"dropping-particle":"","family":"Todo","given":"Tomoki","non-dropping-particle":"","parse-names":false,"suffix":""},{"dropping-particle":"","family":"Ito","given":"Hirotaka","non-dropping-particle":"","parse-names":false,"suffix":""},{"dropping-particle":"","family":"Ino","given":"Yasushi","non-dropping-particle":"","parse-names":false,"suffix":""},{"dropping-particle":"","family":"Ohtsu","given":"Hiroshi","non-dropping-particle":"","parse-names":false,"suffix":""},{"dropping-particle":"","family":"Ota","given":"Yasunori","non-dropping-particle":"","parse-names":false,"suffix":""},{"dropping-particle":"","family":"Shibahara","given":"Junji","non-dropping-particle":"","parse-names":false,"suffix":""},{"dropping-particle":"","family":"Tanaka","given":"Minoru","non-dropping-particle":"","parse-names":false,"suffix":""}],"container-title":"Nature medicine","id":"ITEM-1","issue":"8","issued":{"date-parts":[["2022","8"]]},"language":"eng","page":"1630-1639","publisher-place":"United States","title":"Intratumoral oncolytic herpes virus G47∆ for residual or recurrent glioblastoma:  a phase 2 trial.","type":"article-journal","volume":"28"},"uris":["http://www.mendeley.com/documents/?uuid=4b19a250-e78c-4223-94c1-86680174de9e"]}],"mendeley":{"formattedCitation":"&lt;sup&gt;[13]&lt;/sup&gt;","plainTextFormattedCitation":"[13]","previouslyFormattedCitation":"&lt;sup&gt;[13]&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[13]</w:t>
      </w:r>
      <w:r w:rsidR="0098686A" w:rsidRPr="007526EC">
        <w:rPr>
          <w:color w:val="000000" w:themeColor="text1"/>
          <w:lang w:val="en-US"/>
        </w:rPr>
        <w:fldChar w:fldCharType="end"/>
      </w:r>
      <w:r w:rsidRPr="007526EC">
        <w:rPr>
          <w:color w:val="000000" w:themeColor="text1"/>
          <w:lang w:val="en-US"/>
        </w:rPr>
        <w:t xml:space="preserve"> Effective OV delivery to GBM remains a challenge. Intracranial injection, although effective, is invasive and not easily repeatable. Moreover, GBM's invasive nature and tendency to recur in distant brain areas make localized therapy insufficient. Intravenous administration is hindered by the BBB and by neutralization of circulating virions, particularly in the case of HSV-1, due to widespread pre-existing immunity in the population.</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{"citationItems":[{"id":"ITEM-1","itemData":{"DOI":"10.1016/j.isci.2024.110652","ISSN":"2589-0042 (Electronic)","PMID":"39224512","abstract":"This study aimed to analytically describe the epidemiology of herpes simplex  virus type 1 (HSV-1) infection in the United States through a systematic review and meta-analytics. We reviewed 159 publications, identifying 190 seroprevalence measures and 43 proportions of HSV-1 detection in genital herpes. The pooled mean HSV-1 seroprevalence was 38.0% (95% CI: 30.9-45.4) among general-population children and 63.5% (95% CI: 61.3-65.7) among general-population adults. Age explained 43% of the seroprevalence variation, with rates increasing progressively with age. Seroprevalence declined by 0.99-fold (95% CI: 0.99-0.99) per year. The pooled mean proportion of HSV-1 detection in genital herpes was 15.4% (95% CI: 10.8-20.6), increasing by 1.02-fold (95% CI: 1.00-1.04) per year. Recurrent genital herpes had a 0.17-fold (95% CI: 0.09-0.32) lower proportion of HSV-1 detection compared to first-episode cases. The epidemiology of HSV-1 is shifting, marked by a decline in oral acquisition during childhood and an increase in genital acquisition during adulthood.","author":[{"dropping-particle":"","family":"Ageeb","given":"Rwedah A","non-dropping-particle":"","parse-names":false,"suffix":""},{"dropping-particle":"","family":"Harfouche","given":"Manale","non-dropping-particle":"","parse-names":false,"suffix":""},{"dropping-particle":"","family":"Chemaitelly","given":"Hiam","non-dropping-particle":"","parse-names":false,"suffix":""},{"dropping-particle":"","family":"Abu-Raddad","given":"Laith J","non-dropping-particle":"","parse-names":false,"suffix":""}],"container-title":"iScience","id":"ITEM-1","issue":"9","issued":{"date-parts":[["2024","9"]]},"language":"eng","page":"110652","publisher-place":"United States","title":"Epidemiology of herpes simplex virus type 1 in the United States: Systematic  review, meta-analyses, and meta-regressions.","type":"article-journal","volume":"27"},"uris":["http://www.mendeley.com/documents/?uuid=dc9bc24f-48dc-408d-a430-14bbe40ff142"]}],"mendeley":{"formattedCitation":"&lt;sup&gt;[14]&lt;/sup&gt;","plainTextFormattedCitation":"[14]","previouslyFormattedCitation":"&lt;sup&gt;[14]&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[14]</w:t>
      </w:r>
      <w:r w:rsidR="0098686A" w:rsidRPr="007526EC">
        <w:rPr>
          <w:color w:val="000000" w:themeColor="text1"/>
          <w:lang w:val="en-US"/>
        </w:rPr>
        <w:fldChar w:fldCharType="end"/>
      </w:r>
      <w:r w:rsidRPr="007526EC">
        <w:rPr>
          <w:color w:val="000000" w:themeColor="text1"/>
          <w:lang w:val="en-US"/>
        </w:rPr>
        <w:t xml:space="preserve"> Carrier cells provide a potential solution. These include mesenchymal stromal cells (MSCs)</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{"citationItems":[{"id":"ITEM-1","itemData":{"DOI":"10.1016/j.ejphar.2020.172991","ISSN":"1879-0712 (Electronic)","PMID":"32044323","abstract":"Progress in genetic engineering led to the emergence of some viruses as potent  anticancer therapeutics. These oncolytic viruses combine self-amplification with dual antitumor action: oncolytic (destruction of cancer cells) and immunostimulatory (eliciting acquired antitumor response against cancer epitopes). As any other viruses, they trigger antiviral response upon systemic administration. Mesenchymal stem cells are immature cells capable of self-renewing and differentiating into many cell types that belong to three germinal layers. Due to their inherent tumor tropism mesenchymal stem cells loaded with oncolytic virus can improve delivery of the therapeutic cargo to cancer sites. Shielding of oncolytic viral construct from antiviral host immune response makes these cells prospective delivery vehicles to even hard-to-reach metastatic neoplastic foci. Use of mesenchymal stem cells has been criticized by some investigators as limiting proliferative abilities of primary cells and increasing the risk of malignant transformation, as well as attenuating therapeutic responses. However, majority of preclinical studies indicate safety and efficacy of mesenchymal stem cells used as carriers of oncolytic viruses. In view of contradictory postulates, the debate continues. The review discusses mesenchymal stem cells as carriers for delivery of genetically engineered oncolytic constructs and focuses on systemic approach to oncoviral treatment of some deadly neoplasms.","author":[{"dropping-particle":"","family":"Hadryś","given":"Agata","non-dropping-particle":"","parse-names":false,"suffix":""},{"dropping-particle":"","family":"Sochanik","given":"Aleksander","non-dropping-particle":"","parse-names":false,"suffix":""},{"dropping-particle":"","family":"McFadden","given":"Grant","non-dropping-particle":"","parse-names":false,"suffix":""},{"dropping-particle":"","family":"Jazowiecka-Rakus","given":"Joanna","non-dropping-particle":"","parse-names":false,"suffix":""}],"container-title":"European journal of pharmacology","id":"ITEM-1","issued":{"date-parts":[["2020","5"]]},"language":"eng","page":"172991","publisher-place":"Netherlands","title":"Mesenchymal stem cells as carriers for systemic delivery of oncolytic viruses.","type":"article-journal","volume":"874"},"uris":["http://www.mendeley.com/documents/?uuid=4d477a4f-5820-4570-b6d7-7ecebace4ccb"]}],"mendeley":{"formattedCitation":"&lt;sup&gt;[15]&lt;/sup&gt;","plainTextFormattedCitation":"[15]","previouslyFormattedCitation":"&lt;sup&gt;[15]&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[15]</w:t>
      </w:r>
      <w:r w:rsidR="0098686A" w:rsidRPr="007526EC">
        <w:rPr>
          <w:color w:val="000000" w:themeColor="text1"/>
          <w:lang w:val="en-US"/>
        </w:rPr>
        <w:fldChar w:fldCharType="end"/>
      </w:r>
      <w:r w:rsidRPr="007526EC">
        <w:rPr>
          <w:color w:val="000000" w:themeColor="text1"/>
          <w:lang w:val="en-US"/>
        </w:rPr>
        <w:t xml:space="preserve"> and immune cells such as monocytes, which we identified as suitable carriers for oHSV-1.</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[16]</w:t>
      </w:r>
      <w:r w:rsidR="0098686A" w:rsidRPr="007526EC">
        <w:rPr>
          <w:color w:val="000000" w:themeColor="text1"/>
          <w:lang w:val="en-US"/>
        </w:rPr>
        <w:fldChar w:fldCharType="end"/>
      </w:r>
      <w:r w:rsidRPr="007526EC">
        <w:rPr>
          <w:color w:val="000000" w:themeColor="text1"/>
          <w:lang w:val="en-US"/>
        </w:rPr>
        <w:t xml:space="preserve"> </w:t>
      </w:r>
      <w:r w:rsidR="004E4E2A" w:rsidRPr="007526EC">
        <w:rPr>
          <w:color w:val="000000" w:themeColor="text1"/>
          <w:lang w:val="en-US"/>
        </w:rPr>
        <w:t>W</w:t>
      </w:r>
      <w:r w:rsidRPr="007526EC">
        <w:rPr>
          <w:color w:val="000000" w:themeColor="text1"/>
          <w:lang w:val="en-US"/>
        </w:rPr>
        <w:t>e</w:t>
      </w:r>
      <w:r w:rsidR="004E4E2A" w:rsidRPr="007526EC">
        <w:rPr>
          <w:color w:val="000000" w:themeColor="text1"/>
          <w:lang w:val="en-US"/>
        </w:rPr>
        <w:t xml:space="preserve"> previously</w:t>
      </w:r>
      <w:r w:rsidRPr="007526EC">
        <w:rPr>
          <w:color w:val="000000" w:themeColor="text1"/>
          <w:lang w:val="en-US"/>
        </w:rPr>
        <w:t xml:space="preserve"> demonstrated that monocytes are susceptible to infection by an oHSV-1 </w:t>
      </w:r>
      <w:r w:rsidR="004E4E2A" w:rsidRPr="007526EC">
        <w:rPr>
          <w:color w:val="000000" w:themeColor="text1"/>
          <w:lang w:val="en-US"/>
        </w:rPr>
        <w:t xml:space="preserve">closely resembling the clinically approved </w:t>
      </w:r>
      <w:r w:rsidRPr="007526EC">
        <w:rPr>
          <w:color w:val="000000" w:themeColor="text1"/>
          <w:lang w:val="en-US"/>
        </w:rPr>
        <w:t>T-VEC. THP-1 cells</w:t>
      </w:r>
      <w:r w:rsidR="004E4E2A" w:rsidRPr="007526EC">
        <w:rPr>
          <w:color w:val="000000" w:themeColor="text1"/>
          <w:lang w:val="en-US"/>
        </w:rPr>
        <w:t>, derived from monocytic leukemia, supported productive infection, while primary monocytes from healthy donors, although susceptible, were only poorly permissive to viral replication</w:t>
      </w:r>
      <w:r w:rsidRPr="007526EC">
        <w:rPr>
          <w:color w:val="000000" w:themeColor="text1"/>
          <w:lang w:val="en-US"/>
        </w:rPr>
        <w:t>.</w:t>
      </w:r>
      <w:r w:rsidR="0098686A" w:rsidRPr="007526EC">
        <w:rPr>
          <w:color w:val="000000" w:themeColor="text1"/>
          <w:lang w:val="en-US"/>
        </w:rPr>
        <w:fldChar w:fldCharType="begin" w:fldLock="1"/>
      </w:r>
      <w:r w:rsidR="0098686A" w:rsidRPr="007526EC">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[16]</w:t>
      </w:r>
      <w:r w:rsidR="0098686A" w:rsidRPr="007526EC">
        <w:rPr>
          <w:color w:val="000000" w:themeColor="text1"/>
          <w:lang w:val="en-US"/>
        </w:rPr>
        <w:fldChar w:fldCharType="end"/>
      </w:r>
      <w:r w:rsidR="0098686A" w:rsidRPr="007526EC">
        <w:rPr>
          <w:color w:val="000000" w:themeColor="text1"/>
          <w:lang w:val="en-US"/>
        </w:rPr>
        <w:t xml:space="preserve"> </w:t>
      </w:r>
      <w:r w:rsidRPr="007526EC">
        <w:rPr>
          <w:color w:val="000000" w:themeColor="text1"/>
          <w:lang w:val="en-US"/>
        </w:rPr>
        <w:t xml:space="preserve">Despite low permissiveness, </w:t>
      </w:r>
      <w:r w:rsidR="00C1654F" w:rsidRPr="007526EC">
        <w:rPr>
          <w:color w:val="000000" w:themeColor="text1"/>
          <w:lang w:val="en-US"/>
        </w:rPr>
        <w:t>most</w:t>
      </w:r>
      <w:r w:rsidRPr="007526EC">
        <w:rPr>
          <w:color w:val="000000" w:themeColor="text1"/>
          <w:lang w:val="en-US"/>
        </w:rPr>
        <w:t xml:space="preserve"> infected primary monocytes expressed the immediate early viral protein ICP4 and, </w:t>
      </w:r>
      <w:r w:rsidR="00C1654F" w:rsidRPr="007526EC">
        <w:rPr>
          <w:color w:val="000000" w:themeColor="text1"/>
          <w:lang w:val="en-US"/>
        </w:rPr>
        <w:t>upon exposure</w:t>
      </w:r>
      <w:r w:rsidRPr="007526EC">
        <w:rPr>
          <w:color w:val="000000" w:themeColor="text1"/>
          <w:lang w:val="en-US"/>
        </w:rPr>
        <w:t xml:space="preserve"> to tumor cell-conditioned medium, showed a significant increase in viral particle production. Infected monocytes </w:t>
      </w:r>
      <w:r w:rsidR="00FE1E4D" w:rsidRPr="007526EC">
        <w:rPr>
          <w:color w:val="000000" w:themeColor="text1"/>
          <w:lang w:val="en-US"/>
        </w:rPr>
        <w:t>retained</w:t>
      </w:r>
      <w:r w:rsidRPr="007526EC">
        <w:rPr>
          <w:color w:val="000000" w:themeColor="text1"/>
          <w:lang w:val="en-US"/>
        </w:rPr>
        <w:t xml:space="preserve"> their ability to migrate toward tumor</w:t>
      </w:r>
      <w:r w:rsidR="00FE1E4D" w:rsidRPr="007526EC">
        <w:rPr>
          <w:color w:val="000000" w:themeColor="text1"/>
          <w:lang w:val="en-US"/>
        </w:rPr>
        <w:t>-derived signals and successfully</w:t>
      </w:r>
      <w:r w:rsidRPr="007526EC">
        <w:rPr>
          <w:color w:val="000000" w:themeColor="text1"/>
          <w:lang w:val="en-US"/>
        </w:rPr>
        <w:t xml:space="preserve"> transmit</w:t>
      </w:r>
      <w:r w:rsidR="00FE1E4D" w:rsidRPr="007526EC">
        <w:rPr>
          <w:color w:val="000000" w:themeColor="text1"/>
          <w:lang w:val="en-US"/>
        </w:rPr>
        <w:t>ted</w:t>
      </w:r>
      <w:r w:rsidRPr="007526EC">
        <w:rPr>
          <w:color w:val="000000" w:themeColor="text1"/>
          <w:lang w:val="en-US"/>
        </w:rPr>
        <w:t xml:space="preserve"> the </w:t>
      </w:r>
      <w:r w:rsidR="00FE1E4D" w:rsidRPr="007526EC">
        <w:rPr>
          <w:color w:val="000000" w:themeColor="text1"/>
          <w:lang w:val="en-US"/>
        </w:rPr>
        <w:t>virus</w:t>
      </w:r>
      <w:r w:rsidRPr="007526EC">
        <w:rPr>
          <w:color w:val="000000" w:themeColor="text1"/>
          <w:lang w:val="en-US"/>
        </w:rPr>
        <w:t xml:space="preserve"> to tumor cells in co-culture</w:t>
      </w:r>
      <w:r w:rsidR="00FE1E4D" w:rsidRPr="007526EC">
        <w:rPr>
          <w:color w:val="000000" w:themeColor="text1"/>
          <w:lang w:val="en-US"/>
        </w:rPr>
        <w:t xml:space="preserve"> experiments</w:t>
      </w:r>
      <w:r w:rsidRPr="007526EC">
        <w:rPr>
          <w:color w:val="000000" w:themeColor="text1"/>
          <w:lang w:val="en-US"/>
        </w:rPr>
        <w:t xml:space="preserve">. </w:t>
      </w:r>
      <w:r w:rsidR="00FE1E4D" w:rsidRPr="007526EC">
        <w:rPr>
          <w:color w:val="000000" w:themeColor="text1"/>
          <w:lang w:val="en-US"/>
        </w:rPr>
        <w:t>Furthermore</w:t>
      </w:r>
      <w:r w:rsidRPr="007526EC">
        <w:rPr>
          <w:color w:val="000000" w:themeColor="text1"/>
          <w:lang w:val="en-US"/>
        </w:rPr>
        <w:t xml:space="preserve">, using the </w:t>
      </w:r>
      <w:proofErr w:type="spellStart"/>
      <w:r w:rsidRPr="007526EC">
        <w:rPr>
          <w:color w:val="000000" w:themeColor="text1"/>
          <w:lang w:val="en-US"/>
        </w:rPr>
        <w:t>chorioallantoic</w:t>
      </w:r>
      <w:proofErr w:type="spellEnd"/>
      <w:r w:rsidRPr="007526EC">
        <w:rPr>
          <w:color w:val="000000" w:themeColor="text1"/>
          <w:lang w:val="en-US"/>
        </w:rPr>
        <w:t xml:space="preserve"> membrane (CAM) model, we </w:t>
      </w:r>
      <w:r w:rsidR="00FE1E4D" w:rsidRPr="007526EC">
        <w:rPr>
          <w:color w:val="000000" w:themeColor="text1"/>
          <w:lang w:val="en-US"/>
        </w:rPr>
        <w:t>confirmed that oHSV-1-loaded THP-1 cells were capable of homing to and infecting vascularized tumors within the developing chicken embryo</w:t>
      </w:r>
      <w:r w:rsidRPr="007526EC">
        <w:rPr>
          <w:color w:val="000000" w:themeColor="text1"/>
          <w:lang w:val="en-US"/>
        </w:rPr>
        <w:t>.</w:t>
      </w:r>
      <w:r w:rsidR="0098686A" w:rsidRPr="007526EC">
        <w:rPr>
          <w:color w:val="000000" w:themeColor="text1"/>
          <w:lang w:val="en-US"/>
        </w:rPr>
        <w:fldChar w:fldCharType="begin" w:fldLock="1"/>
      </w:r>
      <w:r w:rsidR="0072143B" w:rsidRPr="007526EC">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7526EC">
        <w:rPr>
          <w:color w:val="000000" w:themeColor="text1"/>
          <w:lang w:val="en-US"/>
        </w:rPr>
        <w:fldChar w:fldCharType="separate"/>
      </w:r>
      <w:r w:rsidR="0098686A" w:rsidRPr="007526EC">
        <w:rPr>
          <w:noProof/>
          <w:color w:val="000000" w:themeColor="text1"/>
          <w:vertAlign w:val="superscript"/>
          <w:lang w:val="en-US"/>
        </w:rPr>
        <w:t>[16]</w:t>
      </w:r>
      <w:r w:rsidR="0098686A" w:rsidRPr="007526EC">
        <w:rPr>
          <w:color w:val="000000" w:themeColor="text1"/>
          <w:lang w:val="en-US"/>
        </w:rPr>
        <w:fldChar w:fldCharType="end"/>
      </w:r>
      <w:r w:rsidRPr="007526EC">
        <w:rPr>
          <w:color w:val="000000" w:themeColor="text1"/>
          <w:lang w:val="en-US"/>
        </w:rPr>
        <w:t xml:space="preserve"> T</w:t>
      </w:r>
      <w:r w:rsidR="00FE1E4D" w:rsidRPr="007526EC">
        <w:rPr>
          <w:color w:val="000000" w:themeColor="text1"/>
          <w:lang w:val="en-US"/>
        </w:rPr>
        <w:t>aken together, t</w:t>
      </w:r>
      <w:r w:rsidRPr="007526EC">
        <w:rPr>
          <w:color w:val="000000" w:themeColor="text1"/>
          <w:lang w:val="en-US"/>
        </w:rPr>
        <w:t>hese</w:t>
      </w:r>
      <w:r w:rsidR="00FE1E4D" w:rsidRPr="007526EC">
        <w:rPr>
          <w:color w:val="000000" w:themeColor="text1"/>
          <w:lang w:val="en-US"/>
        </w:rPr>
        <w:t xml:space="preserve"> preliminary</w:t>
      </w:r>
      <w:r w:rsidRPr="007526EC">
        <w:rPr>
          <w:color w:val="000000" w:themeColor="text1"/>
          <w:lang w:val="en-US"/>
        </w:rPr>
        <w:t xml:space="preserve"> findings support the potential of monocytes as cellular carriers for oncolytic </w:t>
      </w:r>
      <w:r w:rsidR="00FE1E4D" w:rsidRPr="007526EC">
        <w:rPr>
          <w:color w:val="000000" w:themeColor="text1"/>
          <w:lang w:val="en-US"/>
        </w:rPr>
        <w:t>virotherapy</w:t>
      </w:r>
      <w:r w:rsidRPr="007526EC">
        <w:rPr>
          <w:color w:val="000000" w:themeColor="text1"/>
          <w:lang w:val="en-US"/>
        </w:rPr>
        <w:t xml:space="preserve">, </w:t>
      </w:r>
      <w:r w:rsidR="00A51750" w:rsidRPr="007526EC">
        <w:rPr>
          <w:color w:val="000000" w:themeColor="text1"/>
          <w:lang w:val="en-US"/>
        </w:rPr>
        <w:t>for</w:t>
      </w:r>
      <w:r w:rsidRPr="007526EC">
        <w:rPr>
          <w:color w:val="000000" w:themeColor="text1"/>
          <w:lang w:val="en-US"/>
        </w:rPr>
        <w:t xml:space="preserve"> </w:t>
      </w:r>
      <w:r w:rsidR="00FE1E4D" w:rsidRPr="007526EC">
        <w:rPr>
          <w:color w:val="000000" w:themeColor="text1"/>
          <w:lang w:val="en-US"/>
        </w:rPr>
        <w:t>the</w:t>
      </w:r>
      <w:r w:rsidR="00A51750" w:rsidRPr="007526EC">
        <w:rPr>
          <w:color w:val="000000" w:themeColor="text1"/>
          <w:lang w:val="en-US"/>
        </w:rPr>
        <w:t xml:space="preserve">ir efficient </w:t>
      </w:r>
      <w:r w:rsidR="00A51750" w:rsidRPr="007526EC">
        <w:rPr>
          <w:i/>
          <w:iCs/>
          <w:color w:val="000000" w:themeColor="text1"/>
          <w:lang w:val="en-US"/>
        </w:rPr>
        <w:t>ex vivo</w:t>
      </w:r>
      <w:r w:rsidR="00FE1E4D" w:rsidRPr="007526EC">
        <w:rPr>
          <w:color w:val="000000" w:themeColor="text1"/>
          <w:lang w:val="en-US"/>
        </w:rPr>
        <w:t xml:space="preserve"> </w:t>
      </w:r>
      <w:r w:rsidRPr="007526EC">
        <w:rPr>
          <w:color w:val="000000" w:themeColor="text1"/>
          <w:lang w:val="en-US"/>
        </w:rPr>
        <w:t>load</w:t>
      </w:r>
      <w:r w:rsidR="00A51750" w:rsidRPr="007526EC">
        <w:rPr>
          <w:color w:val="000000" w:themeColor="text1"/>
          <w:lang w:val="en-US"/>
        </w:rPr>
        <w:t>ing</w:t>
      </w:r>
      <w:r w:rsidRPr="007526EC">
        <w:rPr>
          <w:color w:val="000000" w:themeColor="text1"/>
          <w:lang w:val="en-US"/>
        </w:rPr>
        <w:t xml:space="preserve"> and </w:t>
      </w:r>
      <w:r w:rsidR="00A51750" w:rsidRPr="007526EC">
        <w:rPr>
          <w:color w:val="000000" w:themeColor="text1"/>
          <w:lang w:val="en-US"/>
        </w:rPr>
        <w:t>natural</w:t>
      </w:r>
      <w:r w:rsidRPr="007526EC">
        <w:rPr>
          <w:color w:val="000000" w:themeColor="text1"/>
          <w:lang w:val="en-US"/>
        </w:rPr>
        <w:t xml:space="preserve"> tumor tropism to facilitate delivery </w:t>
      </w:r>
      <w:r w:rsidR="00A51750" w:rsidRPr="007526EC">
        <w:rPr>
          <w:color w:val="000000" w:themeColor="text1"/>
          <w:lang w:val="en-US"/>
        </w:rPr>
        <w:t xml:space="preserve">of the viral payload </w:t>
      </w:r>
      <w:r w:rsidRPr="007526EC">
        <w:rPr>
          <w:color w:val="000000" w:themeColor="text1"/>
          <w:lang w:val="en-US"/>
        </w:rPr>
        <w:t xml:space="preserve">while evading immune </w:t>
      </w:r>
      <w:r w:rsidR="00A51750" w:rsidRPr="007526EC">
        <w:rPr>
          <w:color w:val="000000" w:themeColor="text1"/>
          <w:lang w:val="en-US"/>
        </w:rPr>
        <w:t>clearance</w:t>
      </w:r>
      <w:r w:rsidRPr="007526EC">
        <w:rPr>
          <w:color w:val="000000" w:themeColor="text1"/>
          <w:lang w:val="en-US"/>
        </w:rPr>
        <w:t>.</w:t>
      </w:r>
      <w:r w:rsidR="004E4E2A" w:rsidRPr="007526EC">
        <w:rPr>
          <w:color w:val="000000" w:themeColor="text1"/>
          <w:lang w:val="en-US"/>
        </w:rPr>
        <w:t xml:space="preserve"> </w:t>
      </w:r>
    </w:p>
    <w:p w14:paraId="0000001C" w14:textId="585D9DC3" w:rsidR="00234C7D" w:rsidRPr="007526EC" w:rsidRDefault="00C71874">
      <w:pPr>
        <w:spacing w:line="276" w:lineRule="auto"/>
        <w:jc w:val="both"/>
        <w:rPr>
          <w:color w:val="000000" w:themeColor="text1"/>
          <w:lang w:val="en-US"/>
        </w:rPr>
      </w:pPr>
      <w:r w:rsidRPr="007526EC">
        <w:rPr>
          <w:color w:val="000000" w:themeColor="text1"/>
          <w:lang w:val="en-US"/>
        </w:rPr>
        <w:t xml:space="preserve">Replicating the BBB </w:t>
      </w:r>
      <w:r w:rsidRPr="007526EC">
        <w:rPr>
          <w:i/>
          <w:color w:val="000000" w:themeColor="text1"/>
          <w:lang w:val="en-US"/>
        </w:rPr>
        <w:t>in vitro</w:t>
      </w:r>
      <w:r w:rsidRPr="007526EC">
        <w:rPr>
          <w:color w:val="000000" w:themeColor="text1"/>
          <w:lang w:val="en-US"/>
        </w:rPr>
        <w:t xml:space="preserve"> poses challenges due to its complex cellular architecture. While </w:t>
      </w:r>
      <w:r w:rsidRPr="007526EC">
        <w:rPr>
          <w:i/>
          <w:color w:val="000000" w:themeColor="text1"/>
          <w:lang w:val="en-US"/>
        </w:rPr>
        <w:t>in vivo</w:t>
      </w:r>
      <w:r w:rsidRPr="007526EC">
        <w:rPr>
          <w:color w:val="000000" w:themeColor="text1"/>
          <w:lang w:val="en-US"/>
        </w:rPr>
        <w:t xml:space="preserve"> studies offer physiological insights, they are limited by interspecies differences, ethical constraints, and scalability</w:t>
      </w:r>
      <w:r w:rsidR="0072143B" w:rsidRPr="007526EC">
        <w:rPr>
          <w:color w:val="000000" w:themeColor="text1"/>
          <w:lang w:val="en-US"/>
        </w:rPr>
        <w:fldChar w:fldCharType="begin" w:fldLock="1"/>
      </w:r>
      <w:r w:rsidR="0072143B" w:rsidRPr="007526EC">
        <w:rPr>
          <w:color w:val="000000" w:themeColor="text1"/>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perspectives","type":"article-journal","volume":"24"},"uris":["http://www.mendeley.com/documents/?uuid=65c5bc1d-ad59-4e98-9f82-b37538978aa9"]},{"id":"ITEM-2","itemData":{"DOI":"https://doi.org/10.1016/j.jddst.2023.104174","ISSN":"1773-2247","abstract":"The blood-brain barrier (BBB) is a vital and unique multi-dimensional selective barrier that helps maintain brain homeostasis. BBB is a complex and dynamic structure responsible for regulating the transport of ions and molecules. BBB contains several transporter proteins and tight junctions (TJs) that control the passage of nutrients, while protecting the brain from hazardous toxins and pathogens. Neurological diseases are the primary cause of disability and are considered the second-largest cause of death. BBB dysfunction reduce blood flow and will also permit the entry of toxic substances, and microbial agents in to the brain. This impairment of BBB has been associated with various neurodegenerative diseases. In vitro models that can provide an accurate and deep understanding of neurological disease progression and drug discovery are excellent options.Advancement in microfluidic in vitro models opened new opportunities to study human cell behaviour relative to physiological importance.The limitation of both static transwell and conventional in vitro models was addressed by developing a microfluidic BBB. The microfluidic system showed a close resemblance to the BBB in vivo. The neuronal transport processes and neurogenesis mechanism was well understood with simple neuronal networks. More complex three-dimensional models with multiple cell types, such as Organ on-chip systems, enabled a new platform for a better understanding of the disease and mimicking the physiological conditions. The structure of the blood-brain barrier, conventional models used to model BBB, recent developments in the BBB model using microfluidic technology and the relevance of microfluidic technology in neurological disease modeling is portrayed through this review.","author":[{"dropping-particle":"","family":"Reshma","given":"S","non-dropping-particle":"","parse-names":false,"suffix":""},{"dropping-particle":"","family":"Megha","given":"K B","non-dropping-particle":"","parse-names":false,"suffix":""},{"dropping-particle":"","family":"Amir","given":"S","non-dropping-particle":"","parse-names":false,"suffix":""},{"dropping-particle":"","family":"Rukhiya","given":"S","non-dropping-particle":"","parse-names":false,"suffix":""},{"dropping-particle":"V","family":"Mohanan","given":"P","non-dropping-particle":"","parse-names":false,"suffix":""}],"container-title":"Journal of Drug Delivery Science and Technology","id":"ITEM-2","issued":{"date-parts":[["2023"]]},"page":"104174","title":"Blood brain barrier-on-a-chip to model neurological diseases","type":"article-journal","volume":"80"},"uris":["http://www.mendeley.com/documents/?uuid=5ba05c30-3b20-4e35-9611-556c5001e939"]}],"mendeley":{"formattedCitation":"&lt;sup&gt;[17,18]&lt;/sup&gt;","plainTextFormattedCitation":"[17,18]","previouslyFormattedCitation":"&lt;sup&gt;[17,18]&lt;/sup&gt;"},"properties":{"noteIndex":0},"schema":"https://github.com/citation-style-language/schema/raw/master/csl-citation.json"}</w:instrText>
      </w:r>
      <w:r w:rsidR="0072143B" w:rsidRPr="007526EC">
        <w:rPr>
          <w:color w:val="000000" w:themeColor="text1"/>
          <w:lang w:val="en-US"/>
        </w:rPr>
        <w:fldChar w:fldCharType="separate"/>
      </w:r>
      <w:r w:rsidR="0072143B" w:rsidRPr="007526EC">
        <w:rPr>
          <w:noProof/>
          <w:color w:val="000000" w:themeColor="text1"/>
          <w:vertAlign w:val="superscript"/>
          <w:lang w:val="en-US"/>
        </w:rPr>
        <w:t>[17,18]</w:t>
      </w:r>
      <w:r w:rsidR="0072143B" w:rsidRPr="007526EC">
        <w:rPr>
          <w:color w:val="000000" w:themeColor="text1"/>
          <w:lang w:val="en-US"/>
        </w:rPr>
        <w:fldChar w:fldCharType="end"/>
      </w:r>
      <w:r w:rsidRPr="007526EC">
        <w:rPr>
          <w:color w:val="000000" w:themeColor="text1"/>
          <w:lang w:val="en-US"/>
        </w:rPr>
        <w:t xml:space="preserve">. Traditional static </w:t>
      </w:r>
      <w:r w:rsidRPr="007526EC">
        <w:rPr>
          <w:i/>
          <w:color w:val="000000" w:themeColor="text1"/>
          <w:lang w:val="en-US"/>
        </w:rPr>
        <w:t>in vitro</w:t>
      </w:r>
      <w:r w:rsidRPr="007526EC">
        <w:rPr>
          <w:color w:val="000000" w:themeColor="text1"/>
          <w:lang w:val="en-US"/>
        </w:rPr>
        <w:t xml:space="preserve"> models fall short due to lack of shear stress and incomplete cellular interactions.</w:t>
      </w:r>
      <w:r w:rsidR="0072143B" w:rsidRPr="007526EC">
        <w:rPr>
          <w:color w:val="000000" w:themeColor="text1"/>
          <w:lang w:val="en-US"/>
        </w:rPr>
        <w:fldChar w:fldCharType="begin" w:fldLock="1"/>
      </w:r>
      <w:r w:rsidR="004276BF" w:rsidRPr="007526EC">
        <w:rPr>
          <w:color w:val="000000" w:themeColor="text1"/>
          <w:lang w:val="en-US"/>
        </w:rPr>
        <w:instrText>ADDIN CSL_CITATION {"citationItems":[{"id":"ITEM-1","itemData":{"DOI":"10.1186/1471-2202-12-40","ISSN":"1471-2202","abstract":"One of the most important and often neglected physiological stimuli contributing to the differentiation of vascular endothelial cells (ECs) into a blood-brain barrier (BBB) phenotype is shear stress (SS). With the use of a well established humanized dynamic in vitro BBB model and cDNA microarrays, we have profiled the effect of SS in the induction/suppression of ECs genes and related functions.","author":[{"dropping-particle":"","family":"Cucullo","given":"Luca","non-dropping-particle":"","parse-names":false,"suffix":""},{"dropping-particle":"","family":"Hossain","given":"Mohammed","non-dropping-particle":"","parse-names":false,"suffix":""},{"dropping-particle":"","family":"Puvenna","given":"Vikram","non-dropping-particle":"","parse-names":false,"suffix":""},{"dropping-particle":"","family":"Marchi","given":"Nicola","non-dropping-particle":"","parse-names":false,"suffix":""},{"dropping-particle":"","family":"Janigro","given":"Damir","non-dropping-particle":"","parse-names":false,"suffix":""}],"container-title":"BMC Neuroscience","id":"ITEM-1","issue":"1","issued":{"date-parts":[["2011"]]},"page":"40","title":"The role of shear stress in Blood-Brain Barrier endothelial physiology","type":"article-journal","volume":"12"},"uris":["http://www.mendeley.com/documents/?uuid=fbb87723-854d-4234-a301-f3605e5bca2d"]},{"id":"ITEM-2","itemData":{"DOI":"https://doi.org/10.1016/j.jconrel.2022.01.011","ISSN":"0168-3659","abstract":"Understanding the composition and function of the blood brain barrier (BBB) enables the development of novel, innovative techniques for administering central nervous system (CNS) medications and technologies for improving the existing models. Scientific and methodological interest in the pathology of the BBB resulted in the formation of numerous in vitro BBB models. Once successfully studied and modelled, it would be a valuable tool for elucidating the mechanism of action of the CNS disorders prior to their manifestation and the pathogenic factors. Understanding the rationale behind the selection of the models as well as their working may enable the development of state-of-the-art drugs for treating and managing neurological diseases. Hence, to have realistic simulation of the BBB and test its drug permeability the microfluidics-based BBB-on-Chip model has been developed. To summarise, we aim to evaluate the advanced, newly developed and frequently used in vitro BBB models, thereby providing a brief overview of the components essential for in vitro BBB formation, the methods of chip fabrication and cell culturing, its applications and the recent advances in this technological field. This will be critical for developing CNS treatments with improved BBB penetrability and pharmacokinetic properties.","author":[{"dropping-particle":"","family":"Jagtiani","given":"Ekta","non-dropping-particle":"","parse-names":false,"suffix":""},{"dropping-particle":"","family":"Yeolekar","given":"Mihika","non-dropping-particle":"","parse-names":false,"suffix":""},{"dropping-particle":"","family":"Naik","given":"Shivraj","non-dropping-particle":"","parse-names":false,"suffix":""},{"dropping-particle":"","family":"Patravale","given":"Vandana","non-dropping-particle":"","parse-names":false,"suffix":""}],"container-title":"Journal of Controlled Release","id":"ITEM-2","issued":{"date-parts":[["2022"]]},"page":"13-30","title":"In vitro blood brain barrier models: An overview","type":"article-journal","volume":"343"},"uris":["http://www.mendeley.com/documents/?uuid=4876028e-940b-4f23-999c-caa84cf1c9bd"]}],"mendeley":{"formattedCitation":"&lt;sup&gt;[19,20]&lt;/sup&gt;","plainTextFormattedCitation":"[19,20]","previouslyFormattedCitation":"&lt;sup&gt;[19,20]&lt;/sup&gt;"},"properties":{"noteIndex":0},"schema":"https://github.com/citation-style-language/schema/raw/master/csl-citation.json"}</w:instrText>
      </w:r>
      <w:r w:rsidR="0072143B" w:rsidRPr="007526EC">
        <w:rPr>
          <w:color w:val="000000" w:themeColor="text1"/>
          <w:lang w:val="en-US"/>
        </w:rPr>
        <w:fldChar w:fldCharType="separate"/>
      </w:r>
      <w:r w:rsidR="0072143B" w:rsidRPr="007526EC">
        <w:rPr>
          <w:noProof/>
          <w:color w:val="000000" w:themeColor="text1"/>
          <w:vertAlign w:val="superscript"/>
          <w:lang w:val="en-US"/>
        </w:rPr>
        <w:t>[19,20]</w:t>
      </w:r>
      <w:r w:rsidR="0072143B" w:rsidRPr="007526EC">
        <w:rPr>
          <w:color w:val="000000" w:themeColor="text1"/>
          <w:lang w:val="en-US"/>
        </w:rPr>
        <w:fldChar w:fldCharType="end"/>
      </w:r>
      <w:r w:rsidRPr="007526EC">
        <w:rPr>
          <w:color w:val="000000" w:themeColor="text1"/>
          <w:lang w:val="en-US"/>
        </w:rPr>
        <w:t xml:space="preserve"> Researchers developed BBB-on-chip systems, microfluidic platforms designed to replicate physiological and functional aspects of the BBB </w:t>
      </w:r>
      <w:r w:rsidRPr="007526EC">
        <w:rPr>
          <w:i/>
          <w:color w:val="000000" w:themeColor="text1"/>
          <w:lang w:val="en-US"/>
        </w:rPr>
        <w:t>in vitro</w:t>
      </w:r>
      <w:r w:rsidRPr="007526EC">
        <w:rPr>
          <w:color w:val="000000" w:themeColor="text1"/>
          <w:lang w:val="en-US"/>
        </w:rPr>
        <w:t>.</w:t>
      </w:r>
      <w:r w:rsidRPr="007526EC">
        <w:rPr>
          <w:color w:val="000000" w:themeColor="text1"/>
          <w:vertAlign w:val="superscript"/>
          <w:lang w:val="en-US"/>
        </w:rPr>
        <w:t xml:space="preserve"> </w:t>
      </w:r>
      <w:r w:rsidR="004276BF" w:rsidRPr="007526EC">
        <w:rPr>
          <w:color w:val="000000" w:themeColor="text1"/>
          <w:vertAlign w:val="superscript"/>
          <w:lang w:val="en-US"/>
        </w:rPr>
        <w:fldChar w:fldCharType="begin" w:fldLock="1"/>
      </w:r>
      <w:r w:rsidR="004276BF" w:rsidRPr="007526EC">
        <w:rPr>
          <w:color w:val="000000" w:themeColor="text1"/>
          <w:vertAlign w:val="superscript"/>
          <w:lang w:val="en-US"/>
        </w:rPr>
        <w:instrText>ADDIN CSL_CITATION {"citationItems":[{"id":"ITEM-1","itemData":{"DOI":"10.3390/biom11060916","ISSN":"2218-273X","abstract":"Lab-on-a-chip (LOC) and organ-on-a-chip (OOC) devices are highly versatile platforms that enable miniaturization and advanced controlled laboratory functions (i.e., microfluidics, advanced optical or electrical recordings, high-throughput screening). The manufacturing advancements of LOCs/OOCs for biomedical applications and their current limitations are briefly discussed. Multiple studies have exploited the advantages of mimicking organs or tissues on a chip. Among these, we focused our attention on the brain-on-a-chip, blood–brain barrier (BBB)-on-a-chip, and neurovascular unit (NVU)-on-a-chip applications. Mainly, we review the latest developments of brain-on-a-chip, BBB-on-a-chip, and NVU-on-a-chip devices and their use as testing platforms for high-throughput pharmacological screening. In particular, we analyze the most important contributions of these studies in the field of neurodegenerative diseases and their relevance in translational personalized medicine.","author":[{"dropping-particle":"","family":"Staicu","given":"Cristina Elena","non-dropping-particle":"","parse-names":false,"suffix":""},{"dropping-particle":"","family":"Jipa","given":"Florin","non-dropping-particle":"","parse-names":false,"suffix":""},{"dropping-particle":"","family":"Axente","given":"Emanuel","non-dropping-particle":"","parse-names":false,"suffix":""},{"dropping-particle":"","family":"Radu","given":"Mihai","non-dropping-particle":"","parse-names":false,"suffix":""},{"dropping-particle":"","family":"Radu","given":"Beatrice Mihaela","non-dropping-particle":"","parse-names":false,"suffix":""},{"dropping-particle":"","family":"Sima","given":"Felix","non-dropping-particle":"","parse-names":false,"suffix":""}],"container-title":"Biomolecules","id":"ITEM-1","issue":"6","issued":{"date-parts":[["2021"]]},"title":"Lab-on-a-Chip Platforms as Tools for Drug Screening in Neuropathologies Associated with Blood–Brain Barrier Alterations","type":"article-journal","volume":"11"},"uris":["http://www.mendeley.com/documents/?uuid=14a3bff2-d8bb-4b2e-85de-4b9ebc1ed6ac"]}],"mendeley":{"formattedCitation":"&lt;sup&gt;[21]&lt;/sup&gt;","plainTextFormattedCitation":"[21]","previouslyFormattedCitation":"&lt;sup&gt;[21]&lt;/sup&gt;"},"properties":{"noteIndex":0},"schema":"https://github.com/citation-style-language/schema/raw/master/csl-citation.json"}</w:instrText>
      </w:r>
      <w:r w:rsidR="004276BF" w:rsidRPr="007526EC">
        <w:rPr>
          <w:color w:val="000000" w:themeColor="text1"/>
          <w:vertAlign w:val="superscript"/>
          <w:lang w:val="en-US"/>
        </w:rPr>
        <w:fldChar w:fldCharType="separate"/>
      </w:r>
      <w:r w:rsidR="004276BF" w:rsidRPr="007526EC">
        <w:rPr>
          <w:noProof/>
          <w:color w:val="000000" w:themeColor="text1"/>
          <w:vertAlign w:val="superscript"/>
          <w:lang w:val="en-US"/>
        </w:rPr>
        <w:t>[21]</w:t>
      </w:r>
      <w:r w:rsidR="004276BF" w:rsidRPr="007526EC">
        <w:rPr>
          <w:color w:val="000000" w:themeColor="text1"/>
          <w:vertAlign w:val="superscript"/>
          <w:lang w:val="en-US"/>
        </w:rPr>
        <w:fldChar w:fldCharType="end"/>
      </w:r>
      <w:r w:rsidRPr="007526EC">
        <w:rPr>
          <w:color w:val="000000" w:themeColor="text1"/>
          <w:lang w:val="en-US"/>
        </w:rPr>
        <w:t xml:space="preserve"> Microfluidic BBB devices offer numerous advantages for </w:t>
      </w:r>
      <w:r w:rsidRPr="007526EC">
        <w:rPr>
          <w:i/>
          <w:color w:val="000000" w:themeColor="text1"/>
          <w:lang w:val="en-US"/>
        </w:rPr>
        <w:t>in vitro</w:t>
      </w:r>
      <w:r w:rsidRPr="007526EC">
        <w:rPr>
          <w:color w:val="000000" w:themeColor="text1"/>
          <w:lang w:val="en-US"/>
        </w:rPr>
        <w:t xml:space="preserve"> modeling, making them an ideal alternative to traditional systems.</w:t>
      </w:r>
      <w:r w:rsidR="004276BF" w:rsidRPr="007526EC">
        <w:rPr>
          <w:color w:val="000000" w:themeColor="text1"/>
          <w:lang w:val="en-US"/>
        </w:rPr>
        <w:fldChar w:fldCharType="begin" w:fldLock="1"/>
      </w:r>
      <w:r w:rsidR="004276BF" w:rsidRPr="007526EC">
        <w:rPr>
          <w:color w:val="000000" w:themeColor="text1"/>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mendeley":{"formattedCitation":"&lt;sup&gt;[17]&lt;/sup&gt;","plainTextFormattedCitation":"[17]","previouslyFormattedCitation":"&lt;sup&gt;[17]&lt;/sup&gt;"},"properties":{"noteIndex":0},"schema":"https://github.com/citation-style-language/schema/raw/master/csl-citation.json"}</w:instrText>
      </w:r>
      <w:r w:rsidR="004276BF" w:rsidRPr="007526EC">
        <w:rPr>
          <w:color w:val="000000" w:themeColor="text1"/>
          <w:lang w:val="en-US"/>
        </w:rPr>
        <w:fldChar w:fldCharType="separate"/>
      </w:r>
      <w:r w:rsidR="004276BF" w:rsidRPr="007526EC">
        <w:rPr>
          <w:noProof/>
          <w:color w:val="000000" w:themeColor="text1"/>
          <w:vertAlign w:val="superscript"/>
          <w:lang w:val="en-US"/>
        </w:rPr>
        <w:t>[17]</w:t>
      </w:r>
      <w:r w:rsidR="004276BF" w:rsidRPr="007526EC">
        <w:rPr>
          <w:color w:val="000000" w:themeColor="text1"/>
          <w:lang w:val="en-US"/>
        </w:rPr>
        <w:fldChar w:fldCharType="end"/>
      </w:r>
      <w:r w:rsidRPr="007526EC">
        <w:rPr>
          <w:color w:val="000000" w:themeColor="text1"/>
          <w:vertAlign w:val="superscript"/>
          <w:lang w:val="en-US"/>
        </w:rPr>
        <w:t xml:space="preserve"> </w:t>
      </w:r>
      <w:r w:rsidRPr="007526EC">
        <w:rPr>
          <w:color w:val="000000" w:themeColor="text1"/>
          <w:lang w:val="en-US"/>
        </w:rPr>
        <w:t xml:space="preserve"> They are cost-effective to fabricate and provide flexibility in design, allowing to tailor the setup to specific experimental needs. These devices require fewer cells, increase efficiency and reduce materials consumption.</w:t>
      </w:r>
      <w:r w:rsidR="004276BF" w:rsidRPr="007526EC">
        <w:rPr>
          <w:color w:val="000000" w:themeColor="text1"/>
          <w:lang w:val="en-US"/>
        </w:rPr>
        <w:fldChar w:fldCharType="begin" w:fldLock="1"/>
      </w:r>
      <w:r w:rsidR="00A16187" w:rsidRPr="007526EC">
        <w:rPr>
          <w:color w:val="000000" w:themeColor="text1"/>
          <w:lang w:val="en-US"/>
        </w:rPr>
        <w:instrText>ADDIN CSL_CITATION {"citationItems":[{"id":"ITEM-1","itemData":{"DOI":"https://doi.org/10.1016/j.arr.2023.101921","ISSN":"1568-1637","abstract":"The complex structure of the blood-brain barrier (BBB) hinders its modeling and the treatment of brain diseases. The microfluidic technology promotes the development of BBB-on-a-chip platforms, which can be used to reproduce the complex brain microenvironment and physiological reactions. Compared with traditional transwell technology, microfluidic BBB-on-a-chip shows great technical advantages in terms of flexible control of fluid shear stress in the chip and fabrication efficiency of the chip system, which can be enhanced by the development of lithography and three-dimensional (3D) printing. It is convenient to accurately monitor the dynamic changes of biochemical parameters of individual cells in the model by integrating an automatic super-resolution imaging sensing platform. In addition, biomaterials, especially hydrogels and conductive polymers, solve the limitations of microfluidic BBB-on-a-chip by compounding onto microfluidic chip to provide a 3D space and special performance on the microfluidic chip. The microfluidic BBB-on-a-chip promotes the development of basic research, including cell migration, mechanism exploration of neurodegenerative diseases, drug barrier permeability, SARS-CoV-2 pathology. This study summarizes the recent advances, challenges and future prospects of microfluidic BBB-on-a-chip, which can help to promote the development of personalized medicine and drug discovery.","author":[{"dropping-particle":"","family":"Bi","given":"Wangyu","non-dropping-particle":"","parse-names":false,"suffix":""},{"dropping-particle":"","family":"Cai","given":"Shanglin","non-dropping-particle":"","parse-names":false,"suffix":""},{"dropping-particle":"","family":"Lei","given":"Tong","non-dropping-particle":"","parse-names":false,"suffix":""},{"dropping-particle":"","family":"Wang","given":"Lei","non-dropping-particle":"","parse-names":false,"suffix":""}],"container-title":"Ageing Research Reviews","id":"ITEM-1","issued":{"date-parts":[["2023"]]},"page":"101921","title":"Implementation of blood-brain barrier on microfluidic chip: Recent advance and future prospects","type":"article-journal","volume":"87"},"uris":["http://www.mendeley.com/documents/?uuid=0309da12-7048-4310-a4d3-631f6abdae40"]}],"mendeley":{"formattedCitation":"&lt;sup&gt;[22]&lt;/sup&gt;","plainTextFormattedCitation":"[22]","previouslyFormattedCitation":"&lt;sup&gt;[22]&lt;/sup&gt;"},"properties":{"noteIndex":0},"schema":"https://github.com/citation-style-language/schema/raw/master/csl-citation.json"}</w:instrText>
      </w:r>
      <w:r w:rsidR="004276BF" w:rsidRPr="007526EC">
        <w:rPr>
          <w:color w:val="000000" w:themeColor="text1"/>
          <w:lang w:val="en-US"/>
        </w:rPr>
        <w:fldChar w:fldCharType="separate"/>
      </w:r>
      <w:r w:rsidR="004276BF" w:rsidRPr="007526EC">
        <w:rPr>
          <w:noProof/>
          <w:color w:val="000000" w:themeColor="text1"/>
          <w:vertAlign w:val="superscript"/>
          <w:lang w:val="en-US"/>
        </w:rPr>
        <w:t>[22]</w:t>
      </w:r>
      <w:r w:rsidR="004276BF" w:rsidRPr="007526EC">
        <w:rPr>
          <w:color w:val="000000" w:themeColor="text1"/>
          <w:lang w:val="en-US"/>
        </w:rPr>
        <w:fldChar w:fldCharType="end"/>
      </w:r>
      <w:r w:rsidRPr="007526EC">
        <w:rPr>
          <w:color w:val="000000" w:themeColor="text1"/>
          <w:vertAlign w:val="superscript"/>
          <w:lang w:val="en-US"/>
        </w:rPr>
        <w:t xml:space="preserve"> </w:t>
      </w:r>
      <w:r w:rsidRPr="007526EC">
        <w:rPr>
          <w:color w:val="000000" w:themeColor="text1"/>
          <w:lang w:val="en-US"/>
        </w:rPr>
        <w:t xml:space="preserve">By offering precise control over the microenvironment, microfluidic systems can more closely replicate the actual </w:t>
      </w:r>
      <w:r w:rsidRPr="007526EC">
        <w:rPr>
          <w:i/>
          <w:color w:val="000000" w:themeColor="text1"/>
          <w:lang w:val="en-US"/>
        </w:rPr>
        <w:t>in vivo</w:t>
      </w:r>
      <w:r w:rsidRPr="007526EC">
        <w:rPr>
          <w:color w:val="000000" w:themeColor="text1"/>
          <w:lang w:val="en-US"/>
        </w:rPr>
        <w:t xml:space="preserve"> brain anatomy</w:t>
      </w:r>
      <w:r w:rsidR="00D03512" w:rsidRPr="007526EC">
        <w:rPr>
          <w:color w:val="000000" w:themeColor="text1"/>
          <w:lang w:val="en-US"/>
        </w:rPr>
        <w:t xml:space="preserve"> </w:t>
      </w:r>
      <w:r w:rsidR="00D03512" w:rsidRPr="007526EC">
        <w:rPr>
          <w:color w:val="000000" w:themeColor="text1"/>
          <w:lang w:val="en-US"/>
        </w:rPr>
        <w:lastRenderedPageBreak/>
        <w:t>and physiology</w:t>
      </w:r>
      <w:r w:rsidRPr="007526EC">
        <w:rPr>
          <w:color w:val="000000" w:themeColor="text1"/>
          <w:lang w:val="en-US"/>
        </w:rPr>
        <w:t>, including critical factors such as shear stress.</w:t>
      </w:r>
      <w:r w:rsidR="00A16187" w:rsidRPr="007526EC">
        <w:rPr>
          <w:color w:val="000000" w:themeColor="text1"/>
          <w:lang w:val="en-US"/>
        </w:rPr>
        <w:fldChar w:fldCharType="begin" w:fldLock="1"/>
      </w:r>
      <w:r w:rsidR="00A16187" w:rsidRPr="007526EC">
        <w:rPr>
          <w:color w:val="000000" w:themeColor="text1"/>
          <w:lang w:val="en-US"/>
        </w:rPr>
        <w:instrText>ADDIN CSL_CITATION {"citationItems":[{"id":"ITEM-1","itemData":{"DOI":"10.1007/s10544-012-9699-7","ISSN":"1572-8781 (Electronic)","PMID":"22955726","abstract":"The blood-brain barrier (BBB) is a unique feature of the human body, preserving  brain homeostasis and preventing toxic substances to enter the brain. However, in various neurodegenerative diseases, the function of the BBB is disturbed. Mechanisms of the breakdown of the BBB are incompletely understood and therefore a realistic model of the BBB is essential. We present here the smallest model of the BBB yet, using a microfluidic chip, and the immortalized human brain endothelial cell line hCMEC/D3. Barrier function is modulated both mechanically, by exposure to fluid shear stress, and biochemically, by stimulation with tumor necrosis factor alpha (TNF-α), in one single device. The device has integrated electrodes to analyze barrier tightness by measuring the transendothelial electrical resistance (TEER). We demonstrate that hCMEC/D3 cells could be cultured in the microfluidic device up to 7 days, and that these cultures showed comparable TEER values with the well-established Transwell assay, with an average (± SEM) of 36.9 Ω.cm(2) (± 0.9 Ω.cm(2)) and 28.2 Ω.cm(2) (± 1.3 Ω.cm(2)) respectively. Moreover, hCMEC/D3 cells on chip expressed the tight junction protein Zonula Occludens-1 (ZO-1) at day 4. Furthermore, shear stress positively influenced barrier tightness and increased TEER values with a factor 3, up to 120 Ω.cm(2). Subsequent addition of TNF-α decreased the TEER with a factor of 10, down to 12 Ω.cm(2). This realistic microfluidic platform of the BBB is very well suited to study barrier function in detail and evaluate drug passage to finally gain more insight into the treatment of neurodegenerative diseases.","author":[{"dropping-particle":"","family":"Griep","given":"L M","non-dropping-particle":"","parse-names":false,"suffix":""},{"dropping-particle":"","family":"Wolbers","given":"F","non-dropping-particle":"","parse-names":false,"suffix":""},{"dropping-particle":"","family":"Wagenaar","given":"B","non-dropping-particle":"de","parse-names":false,"suffix":""},{"dropping-particle":"","family":"Braak","given":"P M","non-dropping-particle":"ter","parse-names":false,"suffix":""},{"dropping-particle":"","family":"Weksler","given":"B B","non-dropping-particle":"","parse-names":false,"suffix":""},{"dropping-particle":"","family":"Romero","given":"I A","non-dropping-particle":"","parse-names":false,"suffix":""},{"dropping-particle":"","family":"Couraud","given":"P O","non-dropping-particle":"","parse-names":false,"suffix":""},{"dropping-particle":"","family":"Vermes","given":"I","non-dropping-particle":"","parse-names":false,"suffix":""},{"dropping-particle":"","family":"Meer","given":"A D","non-dropping-particle":"van der","parse-names":false,"suffix":""},{"dropping-particle":"","family":"Berg","given":"A","non-dropping-particle":"van den","parse-names":false,"suffix":""}],"container-title":"Biomedical microdevices","id":"ITEM-1","issue":"1","issued":{"date-parts":[["2013","2"]]},"language":"eng","page":"145-150","publisher-place":"United States","title":"BBB on chip: microfluidic platform to mechanically and biochemically modulate  blood-brain barrier function.","type":"article-journal","volume":"15"},"uris":["http://www.mendeley.com/documents/?uuid=12c066d5-f88e-4bac-b4e5-d8a7b7c58135"]}],"mendeley":{"formattedCitation":"&lt;sup&gt;[23]&lt;/sup&gt;","plainTextFormattedCitation":"[23]","previouslyFormattedCitation":"&lt;sup&gt;[23]&lt;/sup&gt;"},"properties":{"noteIndex":0},"schema":"https://github.com/citation-style-language/schema/raw/master/csl-citation.json"}</w:instrText>
      </w:r>
      <w:r w:rsidR="00A16187" w:rsidRPr="007526EC">
        <w:rPr>
          <w:color w:val="000000" w:themeColor="text1"/>
          <w:lang w:val="en-US"/>
        </w:rPr>
        <w:fldChar w:fldCharType="separate"/>
      </w:r>
      <w:r w:rsidR="00A16187" w:rsidRPr="007526EC">
        <w:rPr>
          <w:noProof/>
          <w:color w:val="000000" w:themeColor="text1"/>
          <w:vertAlign w:val="superscript"/>
          <w:lang w:val="en-US"/>
        </w:rPr>
        <w:t>[23]</w:t>
      </w:r>
      <w:r w:rsidR="00A16187" w:rsidRPr="007526EC">
        <w:rPr>
          <w:color w:val="000000" w:themeColor="text1"/>
          <w:lang w:val="en-US"/>
        </w:rPr>
        <w:fldChar w:fldCharType="end"/>
      </w:r>
      <w:r w:rsidRPr="007526EC">
        <w:rPr>
          <w:color w:val="000000" w:themeColor="text1"/>
          <w:lang w:val="en-US"/>
        </w:rPr>
        <w:t xml:space="preserve"> The ability to measure relevant parameters such as BBB permeability in real time, enhances both the speed and accuracy of data collection, while improving paracellular barrier functions. Additionally, the transparent nature of the devices allows for easy cell inspection via microscopy. With the possibility of integrating co-culture models, these </w:t>
      </w:r>
      <w:r w:rsidR="00D03512" w:rsidRPr="007526EC">
        <w:rPr>
          <w:color w:val="000000" w:themeColor="text1"/>
          <w:lang w:val="en-US"/>
        </w:rPr>
        <w:t>platforms</w:t>
      </w:r>
      <w:r w:rsidRPr="007526EC">
        <w:rPr>
          <w:color w:val="000000" w:themeColor="text1"/>
          <w:lang w:val="en-US"/>
        </w:rPr>
        <w:t xml:space="preserve"> offer a more realistic simulation of the cellular interactions that occur within the brain, further advancing the physiological relevance of BBB modeling.</w:t>
      </w:r>
      <w:r w:rsidR="00A16187" w:rsidRPr="007526EC">
        <w:rPr>
          <w:color w:val="000000" w:themeColor="text1"/>
          <w:vertAlign w:val="superscript"/>
          <w:lang w:val="en-US"/>
        </w:rPr>
        <w:t xml:space="preserve"> </w:t>
      </w:r>
      <w:r w:rsidR="00A16187" w:rsidRPr="007526EC">
        <w:rPr>
          <w:color w:val="000000" w:themeColor="text1"/>
          <w:vertAlign w:val="superscript"/>
          <w:lang w:val="en-US"/>
        </w:rPr>
        <w:fldChar w:fldCharType="begin" w:fldLock="1"/>
      </w:r>
      <w:r w:rsidR="00A16187" w:rsidRPr="007526EC">
        <w:rPr>
          <w:color w:val="000000" w:themeColor="text1"/>
          <w:vertAlign w:val="superscript"/>
          <w:lang w:val="en-US"/>
        </w:rPr>
        <w:instrText>ADDIN CSL_CITATION {"citationItems":[{"id":"ITEM-1","itemData":{"DOI":"https://doi.org/10.1016/j.drudis.2016.05.020","ISSN":"1359-6446","abstract":"In vitro blood–brain barrier (BBB) models are indispensable screening tools for obtaining early information about the brain-penetrating behaviour of promising drug candidates. Until now, in vitro BBB models have focused on investigating the interplay among cellular components of neurovascular units and the effect of fluidic sheer stress in sustaining normal BBB phenotype and functions. However, an area that has received less recognition is the role of the noncellular basement membrane (BM) in modulating BBB physiology. This review describes the state-of-the-art on in vitro BBB models relevant in drug discovery research and highlights their strengths, weaknesses and the utility potential of some of these models in testing the permeability of nanocarriers as vectors for delivering therapeutics to the brain. Importantly, our review also introduces a new concept of engineering artificial BM platforms for reconstituting BBB models in vitro.","author":[{"dropping-particle":"","family":"Banerjee","given":"Jayati","non-dropping-particle":"","parse-names":false,"suffix":""},{"dropping-particle":"","family":"Shi","given":"Yejiao","non-dropping-particle":"","parse-names":false,"suffix":""},{"dropping-particle":"","family":"Azevedo","given":"Helena S","non-dropping-particle":"","parse-names":false,"suffix":""}],"container-title":"Drug Discovery Today","id":"ITEM-1","issue":"9","issued":{"date-parts":[["2016"]]},"note":"Pathophysiology models for drug discovery","page":"1367-1386","title":"In vitro blood–brain barrier models for drug research: state-of-the-art and new perspectives on reconstituting these models on artificial basement membrane platforms","type":"article-journal","volume":"21"},"uris":["http://www.mendeley.com/documents/?uuid=8939a80e-ea58-48f1-814c-9e19d832f90d"]},{"id":"ITEM-2","itemData":{"DOI":"10.3390/biom12081136","ISSN":"2218-273X","abstract":"The blood–brain barrier (BBB) is an essential structure for the maintenance of brain homeostasis. Alterations to the BBB are linked with a myriad of pathological conditions and play a significant role in the onset and evolution of neurodegenerative diseases, including Alzheimer’s disease. Thus, a deeper understanding of the BBB’s structure and function is mandatory for a better knowledge of neurodegenerative disorders and the development of effective therapies. Because studying the BBB in vivo imposes overwhelming difficulties, the in vitro approach remains the main possible way of research. With many in vitro BBB models having been developed over the last years, the main aim of this review is to systematically present the most relevant designs used in neurological research. In the first part of the article, the physiological and structural–functional parameters of the human BBB are detailed. Subsequently, available BBB models are presented in a comparative approach, highlighting their advantages and limitations. Finally, the new perspectives related to the study of Alzheimer’s disease with the help of novel devices that mimic the in vivo human BBB milieu gives the paper significant originality.","author":[{"dropping-particle":"","family":"Schreiner","given":"Thomas Gabriel","non-dropping-particle":"","parse-names":false,"suffix":""},{"dropping-particle":"","family":"Creangă-Murariu","given":"Ioana","non-dropping-particle":"","parse-names":false,"suffix":""},{"dropping-particle":"","family":"Tamba","given":"Bogdan Ionel","non-dropping-particle":"","parse-names":false,"suffix":""},{"dropping-particle":"","family":"Lucanu","given":"Nicolae","non-dropping-particle":"","parse-names":false,"suffix":""},{"dropping-particle":"","family":"Popescu","given":"Bogdan Ovidiu","non-dropping-particle":"","parse-names":false,"suffix":""}],"container-title":"Biomolecules","id":"ITEM-2","issue":"8","issued":{"date-parts":[["2022"]]},"title":"In Vitro Modeling of the Blood–Brain Barrier for the Study of Physiological Conditions and Alzheimer’s Disease","type":"article-journal","volume":"12"},"uris":["http://www.mendeley.com/documents/?uuid=8d41a461-bc55-452a-9e64-0c5efe0298e9"]}],"mendeley":{"formattedCitation":"&lt;sup&gt;[24,25]&lt;/sup&gt;","plainTextFormattedCitation":"[24,25]","previouslyFormattedCitation":"&lt;sup&gt;[24,25]&lt;/sup&gt;"},"properties":{"noteIndex":0},"schema":"https://github.com/citation-style-language/schema/raw/master/csl-citation.json"}</w:instrText>
      </w:r>
      <w:r w:rsidR="00A16187" w:rsidRPr="007526EC">
        <w:rPr>
          <w:color w:val="000000" w:themeColor="text1"/>
          <w:vertAlign w:val="superscript"/>
          <w:lang w:val="en-US"/>
        </w:rPr>
        <w:fldChar w:fldCharType="separate"/>
      </w:r>
      <w:r w:rsidR="00A16187" w:rsidRPr="007526EC">
        <w:rPr>
          <w:noProof/>
          <w:color w:val="000000" w:themeColor="text1"/>
          <w:vertAlign w:val="superscript"/>
          <w:lang w:val="en-US"/>
        </w:rPr>
        <w:t>[24,25]</w:t>
      </w:r>
      <w:r w:rsidR="00A16187" w:rsidRPr="007526EC">
        <w:rPr>
          <w:color w:val="000000" w:themeColor="text1"/>
          <w:vertAlign w:val="superscript"/>
          <w:lang w:val="en-US"/>
        </w:rPr>
        <w:fldChar w:fldCharType="end"/>
      </w:r>
      <w:r w:rsidRPr="007526EC">
        <w:rPr>
          <w:color w:val="000000" w:themeColor="text1"/>
          <w:lang w:val="en-US"/>
        </w:rPr>
        <w:t xml:space="preserve"> Overall, microfluidic BBB models provide a promising alternative to traditional </w:t>
      </w:r>
      <w:r w:rsidRPr="007526EC">
        <w:rPr>
          <w:i/>
          <w:color w:val="000000" w:themeColor="text1"/>
          <w:lang w:val="en-US"/>
        </w:rPr>
        <w:t>in vitro</w:t>
      </w:r>
      <w:r w:rsidRPr="007526EC">
        <w:rPr>
          <w:color w:val="000000" w:themeColor="text1"/>
          <w:lang w:val="en-US"/>
        </w:rPr>
        <w:t xml:space="preserve"> cell cultures and animal experimentation, offering the potential for more accurate and realistic BBB modeling. </w:t>
      </w:r>
    </w:p>
    <w:p w14:paraId="021AAB52" w14:textId="1EF6F550" w:rsidR="00C81FF0" w:rsidRPr="007526EC" w:rsidRDefault="00764FA2" w:rsidP="00C81FF0">
      <w:pPr>
        <w:spacing w:line="276" w:lineRule="auto"/>
        <w:jc w:val="both"/>
        <w:rPr>
          <w:color w:val="000000" w:themeColor="text1"/>
          <w:lang w:val="en-US"/>
        </w:rPr>
      </w:pPr>
      <w:r w:rsidRPr="007526EC">
        <w:rPr>
          <w:rStyle w:val="Strong"/>
          <w:b w:val="0"/>
          <w:color w:val="000000" w:themeColor="text1"/>
          <w:lang w:val="en-US"/>
        </w:rPr>
        <w:t>In the context of GB</w:t>
      </w:r>
      <w:r w:rsidR="00D03512" w:rsidRPr="007526EC">
        <w:rPr>
          <w:rStyle w:val="Strong"/>
          <w:b w:val="0"/>
          <w:color w:val="000000" w:themeColor="text1"/>
          <w:lang w:val="en-US"/>
        </w:rPr>
        <w:t>M</w:t>
      </w:r>
      <w:r w:rsidRPr="007526EC">
        <w:rPr>
          <w:rStyle w:val="Strong"/>
          <w:b w:val="0"/>
          <w:color w:val="000000" w:themeColor="text1"/>
          <w:lang w:val="en-US"/>
        </w:rPr>
        <w:t xml:space="preserve">, </w:t>
      </w:r>
      <w:r w:rsidR="00D03512" w:rsidRPr="007526EC">
        <w:rPr>
          <w:rStyle w:val="Strong"/>
          <w:b w:val="0"/>
          <w:color w:val="000000" w:themeColor="text1"/>
          <w:lang w:val="en-US"/>
        </w:rPr>
        <w:t xml:space="preserve">the </w:t>
      </w:r>
      <w:r w:rsidRPr="007526EC">
        <w:rPr>
          <w:rStyle w:val="Strong"/>
          <w:b w:val="0"/>
          <w:color w:val="000000" w:themeColor="text1"/>
          <w:lang w:val="en-US"/>
        </w:rPr>
        <w:t xml:space="preserve">cerebral vasculature undergoes significant remodeling, </w:t>
      </w:r>
      <w:r w:rsidR="00D03512" w:rsidRPr="007526EC">
        <w:rPr>
          <w:rStyle w:val="Strong"/>
          <w:b w:val="0"/>
          <w:color w:val="000000" w:themeColor="text1"/>
          <w:lang w:val="en-US"/>
        </w:rPr>
        <w:t xml:space="preserve">giving rise to what is commonly referred to as </w:t>
      </w:r>
      <w:r w:rsidRPr="007526EC">
        <w:rPr>
          <w:rStyle w:val="Strong"/>
          <w:b w:val="0"/>
          <w:color w:val="000000" w:themeColor="text1"/>
          <w:lang w:val="en-US"/>
        </w:rPr>
        <w:t>the blood</w:t>
      </w:r>
      <w:r w:rsidR="009C0AE7" w:rsidRPr="007526EC">
        <w:rPr>
          <w:rStyle w:val="Strong"/>
          <w:b w:val="0"/>
          <w:color w:val="000000" w:themeColor="text1"/>
          <w:lang w:val="en-US"/>
        </w:rPr>
        <w:t>-</w:t>
      </w:r>
      <w:r w:rsidRPr="007526EC">
        <w:rPr>
          <w:rStyle w:val="Strong"/>
          <w:b w:val="0"/>
          <w:color w:val="000000" w:themeColor="text1"/>
          <w:lang w:val="en-US"/>
        </w:rPr>
        <w:t xml:space="preserve">brain tumor barrier (BBTB). </w:t>
      </w:r>
      <w:r w:rsidR="00D03512" w:rsidRPr="007526EC">
        <w:rPr>
          <w:rStyle w:val="Strong"/>
          <w:b w:val="0"/>
          <w:color w:val="000000" w:themeColor="text1"/>
          <w:lang w:val="en-US"/>
        </w:rPr>
        <w:t xml:space="preserve">Although the BBTB exhibits increased permeability due to neovascularization and inflammation, it retains regions with intact </w:t>
      </w:r>
      <w:r w:rsidRPr="007526EC">
        <w:rPr>
          <w:rStyle w:val="Strong"/>
          <w:b w:val="0"/>
          <w:color w:val="000000" w:themeColor="text1"/>
          <w:lang w:val="en-US"/>
        </w:rPr>
        <w:t>BBB characteristics and displays heterogen</w:t>
      </w:r>
      <w:r w:rsidR="0031130A" w:rsidRPr="007526EC">
        <w:rPr>
          <w:rStyle w:val="Strong"/>
          <w:b w:val="0"/>
          <w:color w:val="000000" w:themeColor="text1"/>
          <w:lang w:val="en-US"/>
        </w:rPr>
        <w:t>eity</w:t>
      </w:r>
      <w:r w:rsidRPr="007526EC">
        <w:rPr>
          <w:rStyle w:val="Strong"/>
          <w:b w:val="0"/>
          <w:color w:val="000000" w:themeColor="text1"/>
          <w:lang w:val="en-US"/>
        </w:rPr>
        <w:t xml:space="preserve"> across the tumor microenvironment</w:t>
      </w:r>
      <w:r w:rsidR="0031130A" w:rsidRPr="007526EC">
        <w:rPr>
          <w:rStyle w:val="Strong"/>
          <w:b w:val="0"/>
          <w:color w:val="000000" w:themeColor="text1"/>
          <w:lang w:val="en-US"/>
        </w:rPr>
        <w:t xml:space="preserve"> (TME)</w:t>
      </w:r>
      <w:r w:rsidR="009C0AE7" w:rsidRPr="007526EC">
        <w:rPr>
          <w:b/>
          <w:color w:val="000000" w:themeColor="text1"/>
          <w:lang w:val="en-US"/>
        </w:rPr>
        <w:t>.</w:t>
      </w:r>
      <w:r w:rsidR="009C0AE7" w:rsidRPr="007526EC">
        <w:rPr>
          <w:color w:val="000000" w:themeColor="text1"/>
          <w:lang w:val="en-US"/>
        </w:rPr>
        <w:fldChar w:fldCharType="begin" w:fldLock="1"/>
      </w:r>
      <w:r w:rsidR="009C0AE7" w:rsidRPr="007526EC">
        <w:rPr>
          <w:color w:val="000000" w:themeColor="text1"/>
          <w:lang w:val="en-US"/>
        </w:rPr>
        <w:instrText>ADDIN CSL_CITATION {"citationItems":[{"id":"ITEM-1","itemData":{"DOI":"10.1038/s41571-021-00529-6","ISSN":"1759-4782 (Electronic)","PMID":"34253912","abstract":"The protective blood-brain barrier has a major role in ensuring normal brain  function by severely limiting and tightly controlling the ingress of substances into the brain from the circulation. In primary brain tumours, such as glioblastomas, as well as in brain metastases from cancers in other organs, including lung and breast cancers and melanoma, the blood-brain barrier is modified and is referred to as the blood-tumour barrier (BTB). Alterations in the BTB affect its permeability, and this structure participates in reciprocal regulatory pathways with tumour cells. Importantly, the BTB typically retains a heterogeneous capacity to restrict the penetration of many therapeutic agents into intracranial tumours, and overcoming this challenge is a key to improving the effectiveness of treatment and patient quality of life. Herein, current knowledge of BTB structure and function is reviewed from a cell and cancer biology standpoint, with a focus on findings derived from in vivo models and human tumour specimens. Additionally, how this knowledge can be translated into clinical advances for patients with cancer is discussed.","author":[{"dropping-particle":"","family":"Steeg","given":"Patricia S","non-dropping-particle":"","parse-names":false,"suffix":""}],"container-title":"Nature reviews. Clinical oncology","id":"ITEM-1","issue":"11","issued":{"date-parts":[["2021","11"]]},"language":"eng","page":"696-714","publisher-place":"England","title":"The blood-tumour barrier in cancer biology and therapy.","type":"article-journal","volume":"18"},"uris":["http://www.mendeley.com/documents/?uuid=c6dce329-264c-4e60-9443-48c1db5e9977"]}],"mendeley":{"formattedCitation":"&lt;sup&gt;[26]&lt;/sup&gt;","plainTextFormattedCitation":"[26]","previouslyFormattedCitation":"&lt;sup&gt;[26]&lt;/sup&gt;"},"properties":{"noteIndex":0},"schema":"https://github.com/citation-style-language/schema/raw/master/csl-citation.json"}</w:instrText>
      </w:r>
      <w:r w:rsidR="009C0AE7" w:rsidRPr="007526EC">
        <w:rPr>
          <w:color w:val="000000" w:themeColor="text1"/>
          <w:lang w:val="en-US"/>
        </w:rPr>
        <w:fldChar w:fldCharType="separate"/>
      </w:r>
      <w:r w:rsidR="009C0AE7" w:rsidRPr="007526EC">
        <w:rPr>
          <w:noProof/>
          <w:color w:val="000000" w:themeColor="text1"/>
          <w:vertAlign w:val="superscript"/>
          <w:lang w:val="en-US"/>
        </w:rPr>
        <w:t>[26]</w:t>
      </w:r>
      <w:r w:rsidR="009C0AE7" w:rsidRPr="007526EC">
        <w:rPr>
          <w:color w:val="000000" w:themeColor="text1"/>
          <w:lang w:val="en-US"/>
        </w:rPr>
        <w:fldChar w:fldCharType="end"/>
      </w:r>
      <w:r w:rsidR="009C0AE7" w:rsidRPr="007526EC">
        <w:rPr>
          <w:color w:val="000000" w:themeColor="text1"/>
          <w:lang w:val="en-US"/>
        </w:rPr>
        <w:t xml:space="preserve"> </w:t>
      </w:r>
      <w:r w:rsidR="0031130A" w:rsidRPr="007526EC">
        <w:rPr>
          <w:rStyle w:val="Strong"/>
          <w:b w:val="0"/>
          <w:color w:val="000000" w:themeColor="text1"/>
          <w:lang w:val="en-US"/>
        </w:rPr>
        <w:t>Overexpression of v</w:t>
      </w:r>
      <w:r w:rsidRPr="007526EC">
        <w:rPr>
          <w:rStyle w:val="Strong"/>
          <w:b w:val="0"/>
          <w:color w:val="000000" w:themeColor="text1"/>
          <w:lang w:val="en-US"/>
        </w:rPr>
        <w:t xml:space="preserve">ascular endothelial growth factor (VEGF) in GBM downregulates tight junction proteins such as claudin-5 and </w:t>
      </w:r>
      <w:proofErr w:type="spellStart"/>
      <w:r w:rsidRPr="007526EC">
        <w:rPr>
          <w:rStyle w:val="Strong"/>
          <w:b w:val="0"/>
          <w:color w:val="000000" w:themeColor="text1"/>
          <w:lang w:val="en-US"/>
        </w:rPr>
        <w:t>occludin</w:t>
      </w:r>
      <w:proofErr w:type="spellEnd"/>
      <w:r w:rsidRPr="007526EC">
        <w:rPr>
          <w:rStyle w:val="Strong"/>
          <w:b w:val="0"/>
          <w:color w:val="000000" w:themeColor="text1"/>
          <w:lang w:val="en-US"/>
        </w:rPr>
        <w:t xml:space="preserve">, </w:t>
      </w:r>
      <w:r w:rsidR="0031130A" w:rsidRPr="007526EC">
        <w:rPr>
          <w:rStyle w:val="Strong"/>
          <w:b w:val="0"/>
          <w:color w:val="000000" w:themeColor="text1"/>
          <w:lang w:val="en-US"/>
        </w:rPr>
        <w:t>resulting in</w:t>
      </w:r>
      <w:r w:rsidRPr="007526EC">
        <w:rPr>
          <w:rStyle w:val="Strong"/>
          <w:b w:val="0"/>
          <w:color w:val="000000" w:themeColor="text1"/>
          <w:lang w:val="en-US"/>
        </w:rPr>
        <w:t xml:space="preserve"> endothelial hyperpermeability and structural disruption </w:t>
      </w:r>
      <w:r w:rsidR="0031130A" w:rsidRPr="007526EC">
        <w:rPr>
          <w:rStyle w:val="Strong"/>
          <w:b w:val="0"/>
          <w:color w:val="000000" w:themeColor="text1"/>
          <w:lang w:val="en-US"/>
        </w:rPr>
        <w:t>of</w:t>
      </w:r>
      <w:r w:rsidRPr="007526EC">
        <w:rPr>
          <w:rStyle w:val="Strong"/>
          <w:b w:val="0"/>
          <w:color w:val="000000" w:themeColor="text1"/>
          <w:lang w:val="en-US"/>
        </w:rPr>
        <w:t xml:space="preserve"> the barrier</w:t>
      </w:r>
      <w:r w:rsidR="009C0AE7" w:rsidRPr="007526EC">
        <w:rPr>
          <w:b/>
          <w:color w:val="000000" w:themeColor="text1"/>
          <w:lang w:val="en-US"/>
        </w:rPr>
        <w:t xml:space="preserve">. </w:t>
      </w:r>
      <w:r w:rsidR="009C0AE7" w:rsidRPr="007526EC">
        <w:rPr>
          <w:color w:val="000000" w:themeColor="text1"/>
          <w:lang w:val="en-US"/>
        </w:rPr>
        <w:fldChar w:fldCharType="begin" w:fldLock="1"/>
      </w:r>
      <w:r w:rsidR="008A437C" w:rsidRPr="007526EC">
        <w:rPr>
          <w:color w:val="000000" w:themeColor="text1"/>
          <w:lang w:val="en-US"/>
        </w:rPr>
        <w:instrText>ADDIN CSL_CITATION {"citationItems":[{"id":"ITEM-1","itemData":{"DOI":"10.3389/fncel.2022.922181","ISSN":"16625102","abstract":"Differential diagnosis of brain lesion pathologies is complex, but it is nevertheless crucial for appropriate clinical management. Advanced imaging methods, including diffusion-weighted imaging and apparent diffusion coefficient, can help discriminate between brain mass lesions such as glioblastoma, brain metastasis, brain abscesses as well as brain lymphomas. These pathologies are characterized by blood-brain barrier alterations and have been extensively studied. However, the changes in the blood-brain barrier that are observed around brain pathologies and that contribute to the development of vasogenic brain edema are not well described. Some infiltrative brain pathologies such as glioblastoma are characterized by glioma cell infiltration in the brain tissue around the tumor mass and thus affect the nature of the vasogenic edema. Interestingly, a common feature of primary and secondary brain tumors or tumor-like brain lesions characterized by vasogenic brain edema is the formation of various molecules that lead to alterations of tight junctions and result in blood-brain barrier damage. The resulting vasogenic edema, especially blood-brain barrier disruption, can be visualized using advanced magnetic resonance imaging techniques, such as diffusion-weighted imaging and apparent diffusion coefficient. This review presents a comprehensive overview of blood-brain barrier changes contributing to the development of vasogenic brain edema around glioblastoma, brain metastases, lymphomas, and abscesses.","author":[{"dropping-particle":"","family":"Solar","given":"Peter","non-dropping-particle":"","parse-names":false,"suffix":""},{"dropping-particle":"","family":"Hendrych","given":"Michal","non-dropping-particle":"","parse-names":false,"suffix":""},{"dropping-particle":"","family":"Barak","given":"Martin","non-dropping-particle":"","parse-names":false,"suffix":""},{"dropping-particle":"","family":"Valekova","given":"Hana","non-dropping-particle":"","parse-names":false,"suffix":""},{"dropping-particle":"","family":"Hermanova","given":"Marketa","non-dropping-particle":"","parse-names":false,"suffix":""},{"dropping-particle":"","family":"Jancalek","given":"Radim","non-dropping-particle":"","parse-names":false,"suffix":""}],"container-title":"Frontiers in Cellular Neuroscience","id":"ITEM-1","issue":"July","issued":{"date-parts":[["2022"]]},"page":"1-20","title":"Blood-Brain Barrier Alterations and Edema Formation in Different Brain Mass Lesions","type":"article-journal","volume":"16"},"uris":["http://www.mendeley.com/documents/?uuid=bae7f23b-211b-4c1b-bf28-f89c0d2b8861"]}],"mendeley":{"formattedCitation":"&lt;sup&gt;[27]&lt;/sup&gt;","plainTextFormattedCitation":"[27]","previouslyFormattedCitation":"&lt;sup&gt;[27]&lt;/sup&gt;"},"properties":{"noteIndex":0},"schema":"https://github.com/citation-style-language/schema/raw/master/csl-citation.json"}</w:instrText>
      </w:r>
      <w:r w:rsidR="009C0AE7" w:rsidRPr="007526EC">
        <w:rPr>
          <w:color w:val="000000" w:themeColor="text1"/>
          <w:lang w:val="en-US"/>
        </w:rPr>
        <w:fldChar w:fldCharType="separate"/>
      </w:r>
      <w:r w:rsidR="009C0AE7" w:rsidRPr="007526EC">
        <w:rPr>
          <w:noProof/>
          <w:color w:val="000000" w:themeColor="text1"/>
          <w:vertAlign w:val="superscript"/>
          <w:lang w:val="en-US"/>
        </w:rPr>
        <w:t>[27]</w:t>
      </w:r>
      <w:r w:rsidR="009C0AE7" w:rsidRPr="007526EC">
        <w:rPr>
          <w:color w:val="000000" w:themeColor="text1"/>
          <w:lang w:val="en-US"/>
        </w:rPr>
        <w:fldChar w:fldCharType="end"/>
      </w:r>
      <w:r w:rsidR="00E5136D" w:rsidRPr="007526EC">
        <w:rPr>
          <w:color w:val="000000" w:themeColor="text1"/>
          <w:lang w:val="en-US"/>
        </w:rPr>
        <w:t xml:space="preserve"> </w:t>
      </w:r>
      <w:r w:rsidR="0031130A" w:rsidRPr="007526EC">
        <w:rPr>
          <w:color w:val="000000" w:themeColor="text1"/>
          <w:lang w:val="en-US"/>
        </w:rPr>
        <w:t>Despite being</w:t>
      </w:r>
      <w:r w:rsidR="00901A64" w:rsidRPr="007526EC">
        <w:rPr>
          <w:color w:val="000000" w:themeColor="text1"/>
          <w:lang w:val="en-US"/>
        </w:rPr>
        <w:t xml:space="preserve"> more permeable than the healthy BBB</w:t>
      </w:r>
      <w:r w:rsidR="0031130A" w:rsidRPr="007526EC">
        <w:rPr>
          <w:color w:val="000000" w:themeColor="text1"/>
          <w:lang w:val="en-US"/>
        </w:rPr>
        <w:t>,</w:t>
      </w:r>
      <w:r w:rsidR="00901A64" w:rsidRPr="007526EC">
        <w:rPr>
          <w:color w:val="000000" w:themeColor="text1"/>
          <w:lang w:val="en-US"/>
        </w:rPr>
        <w:t xml:space="preserve"> </w:t>
      </w:r>
      <w:r w:rsidR="0031130A" w:rsidRPr="007526EC">
        <w:rPr>
          <w:color w:val="000000" w:themeColor="text1"/>
          <w:lang w:val="en-US"/>
        </w:rPr>
        <w:t xml:space="preserve">the BBTB remains highly variable in both perfusion and permeability, leading to inconsistent drug accumulation and presenting a major obstacle to effective therapeutic </w:t>
      </w:r>
      <w:r w:rsidR="00515801" w:rsidRPr="007526EC">
        <w:rPr>
          <w:color w:val="000000" w:themeColor="text1"/>
          <w:lang w:val="en-US"/>
        </w:rPr>
        <w:t>delivery.</w:t>
      </w:r>
      <w:r w:rsidR="008A437C" w:rsidRPr="007526EC">
        <w:rPr>
          <w:color w:val="000000" w:themeColor="text1"/>
          <w:lang w:val="en-US"/>
        </w:rPr>
        <w:fldChar w:fldCharType="begin" w:fldLock="1"/>
      </w:r>
      <w:r w:rsidR="004D56B1" w:rsidRPr="007526EC">
        <w:rPr>
          <w:color w:val="000000" w:themeColor="text1"/>
          <w:lang w:val="en-US"/>
        </w:rPr>
        <w:instrText>ADDIN CSL_CITATION {"citationItems":[{"id":"ITEM-1","itemData":{"DOI":"10.1038/s41568-019-0205-x","ISSN":"1474-1768 (Electronic)","PMID":"31601988","abstract":"For a blood-borne cancer therapeutic agent to be effective, it must cross the  blood vessel wall to reach cancer cells in adequate quantities, and it must overcome the resistance conferred by the local microenvironment around cancer cells. The brain microenvironment can thwart the effectiveness of drugs against primary brain tumours as well as brain metastases. In this Review, we highlight the cellular and molecular components of the blood-brain barrier (BBB), a specialized neurovascular unit evolved to maintain brain homeostasis. Tumours are known to compromise the integrity of the BBB, resulting in a vasculature known as the blood-tumour barrier (BTB), which is highly heterogeneous and characterized by numerous distinct features, including non-uniform permeability and active efflux of molecules. We discuss the challenges posed by the BBB and BTB for drug delivery, how multiple cell types dictate BBB function and the role of the BTB in disease progression and treatment. Finally, we highlight emerging molecular, cellular and physical strategies to improve drug delivery across the BBB and BTB and discuss their impact on improving conventional as well as emerging treatments, such as immune checkpoint inhibitors and engineered T cells. A deeper understanding of the BBB and BTB through the application of single-cell sequencing and imaging techniques, and the development of biomarkers of BBB integrity along with systems biology approaches, should enable new personalized treatment strategies for primary brain malignancies and brain metastases.","author":[{"dropping-particle":"","family":"Arvanitis","given":"Costas D","non-dropping-particle":"","parse-names":false,"suffix":""},{"dropping-particle":"","family":"Ferraro","given":"Gino B","non-dropping-particle":"","parse-names":false,"suffix":""},{"dropping-particle":"","family":"Jain","given":"Rakesh K","non-dropping-particle":"","parse-names":false,"suffix":""}],"container-title":"Nature reviews. Cancer","id":"ITEM-1","issue":"1","issued":{"date-parts":[["2020","1"]]},"language":"eng","page":"26-41","publisher-place":"England","title":"The blood-brain barrier and blood-tumour barrier in brain tumours and metastases.","type":"article-journal","volume":"20"},"uris":["http://www.mendeley.com/documents/?uuid=bbd02413-a00b-4e09-a6c1-eee67e89ab91"]},{"id":"ITEM-2","itemData":{"DOI":"10.3389/fneur.2023.1225594","ISSN":"1664-2295 (Print)","PMID":"37521282","author":[{"dropping-particle":"","family":"Zhang","given":"Lei","non-dropping-particle":"","parse-names":false,"suffix":""},{"dropping-particle":"","family":"Dimberg","given":"Anna","non-dropping-particle":"","parse-names":false,"suffix":""},{"dropping-particle":"","family":"Rasouli","given":"Javad","non-dropping-particle":"","parse-names":false,"suffix":""}],"container-title":"Frontiers in neurology","id":"ITEM-2","issued":{"date-parts":[["2023"]]},"language":"eng","page":"1225594","publisher-place":"Switzerland","title":"Editorial: The blood-brain barrier in brain tumors: molecular mechanisms and  therapeutic strategies.","type":"article","volume":"14"},"uris":["http://www.mendeley.com/documents/?uuid=6195524f-373c-42b2-8caa-9aa2c7ddae5c"]}],"mendeley":{"formattedCitation":"&lt;sup&gt;[28,29]&lt;/sup&gt;","plainTextFormattedCitation":"[28,29]","previouslyFormattedCitation":"&lt;sup&gt;[28,29]&lt;/sup&gt;"},"properties":{"noteIndex":0},"schema":"https://github.com/citation-style-language/schema/raw/master/csl-citation.json"}</w:instrText>
      </w:r>
      <w:r w:rsidR="008A437C" w:rsidRPr="007526EC">
        <w:rPr>
          <w:color w:val="000000" w:themeColor="text1"/>
          <w:lang w:val="en-US"/>
        </w:rPr>
        <w:fldChar w:fldCharType="separate"/>
      </w:r>
      <w:r w:rsidR="008A437C" w:rsidRPr="007526EC">
        <w:rPr>
          <w:noProof/>
          <w:color w:val="000000" w:themeColor="text1"/>
          <w:vertAlign w:val="superscript"/>
          <w:lang w:val="en-US"/>
        </w:rPr>
        <w:t>[28,29]</w:t>
      </w:r>
      <w:r w:rsidR="008A437C" w:rsidRPr="007526EC">
        <w:rPr>
          <w:color w:val="000000" w:themeColor="text1"/>
          <w:lang w:val="en-US"/>
        </w:rPr>
        <w:fldChar w:fldCharType="end"/>
      </w:r>
      <w:r w:rsidR="00515801" w:rsidRPr="007526EC">
        <w:rPr>
          <w:color w:val="000000" w:themeColor="text1"/>
          <w:lang w:val="en-US"/>
        </w:rPr>
        <w:t xml:space="preserve"> For this reason, </w:t>
      </w:r>
      <w:r w:rsidR="00515801" w:rsidRPr="007526EC">
        <w:rPr>
          <w:i/>
          <w:color w:val="000000" w:themeColor="text1"/>
          <w:lang w:val="en-US"/>
        </w:rPr>
        <w:t>in vitro</w:t>
      </w:r>
      <w:r w:rsidR="00515801" w:rsidRPr="007526EC">
        <w:rPr>
          <w:color w:val="000000" w:themeColor="text1"/>
          <w:lang w:val="en-US"/>
        </w:rPr>
        <w:t xml:space="preserve"> models that preserve the structural and functional integrity of the healthy BBB are </w:t>
      </w:r>
      <w:r w:rsidR="00C81FF0" w:rsidRPr="007526EC">
        <w:rPr>
          <w:color w:val="000000" w:themeColor="text1"/>
          <w:lang w:val="en-US"/>
        </w:rPr>
        <w:t>crucial for investigating</w:t>
      </w:r>
      <w:r w:rsidR="00515801" w:rsidRPr="007526EC">
        <w:rPr>
          <w:color w:val="000000" w:themeColor="text1"/>
          <w:lang w:val="en-US"/>
        </w:rPr>
        <w:t xml:space="preserve"> </w:t>
      </w:r>
      <w:r w:rsidR="00C81FF0" w:rsidRPr="007526EC">
        <w:rPr>
          <w:color w:val="000000" w:themeColor="text1"/>
          <w:lang w:val="en-US"/>
        </w:rPr>
        <w:t>early tumor-vascular interactions and drug transport mechanisms under controlled conditions</w:t>
      </w:r>
      <w:r w:rsidR="00515801" w:rsidRPr="007526EC">
        <w:rPr>
          <w:color w:val="000000" w:themeColor="text1"/>
          <w:lang w:val="en-US"/>
        </w:rPr>
        <w:t xml:space="preserve">. </w:t>
      </w:r>
      <w:r w:rsidR="00C81FF0" w:rsidRPr="007526EC">
        <w:rPr>
          <w:color w:val="000000" w:themeColor="text1"/>
          <w:lang w:val="en-US"/>
        </w:rPr>
        <w:t xml:space="preserve">In this study, we developed a tri-compartmental BBB-on-chip platform composed of endothelial, astrocytic, and </w:t>
      </w:r>
      <w:proofErr w:type="spellStart"/>
      <w:r w:rsidR="00C81FF0" w:rsidRPr="007526EC">
        <w:rPr>
          <w:color w:val="000000" w:themeColor="text1"/>
          <w:lang w:val="en-US"/>
        </w:rPr>
        <w:t>pericytic</w:t>
      </w:r>
      <w:proofErr w:type="spellEnd"/>
      <w:r w:rsidR="00C81FF0" w:rsidRPr="007526EC">
        <w:rPr>
          <w:color w:val="000000" w:themeColor="text1"/>
          <w:lang w:val="en-US"/>
        </w:rPr>
        <w:t xml:space="preserve"> layers, to which a </w:t>
      </w:r>
      <w:r w:rsidR="00103D01" w:rsidRPr="007526EC">
        <w:rPr>
          <w:color w:val="000000" w:themeColor="text1"/>
          <w:lang w:val="en-US"/>
        </w:rPr>
        <w:t>GBM</w:t>
      </w:r>
      <w:r w:rsidR="00C81FF0" w:rsidRPr="007526EC">
        <w:rPr>
          <w:color w:val="000000" w:themeColor="text1"/>
          <w:lang w:val="en-US"/>
        </w:rPr>
        <w:t xml:space="preserve"> compartment is connected. GBM spheroids were introduced only after the formation of a mature and stable BBB, closely mimic</w:t>
      </w:r>
      <w:r w:rsidR="00103D01" w:rsidRPr="007526EC">
        <w:rPr>
          <w:color w:val="000000" w:themeColor="text1"/>
          <w:lang w:val="en-US"/>
        </w:rPr>
        <w:t>king</w:t>
      </w:r>
      <w:r w:rsidR="00C81FF0" w:rsidRPr="007526EC">
        <w:rPr>
          <w:color w:val="000000" w:themeColor="text1"/>
          <w:lang w:val="en-US"/>
        </w:rPr>
        <w:t xml:space="preserve"> the transition from a healthy to a tumor-altered barrier.</w:t>
      </w:r>
      <w:r w:rsidR="00103D01" w:rsidRPr="007526EC">
        <w:rPr>
          <w:color w:val="000000" w:themeColor="text1"/>
          <w:lang w:val="en-US"/>
        </w:rPr>
        <w:t xml:space="preserve"> This configuration enables the dynamic study of GBM-induced barrier disruption while preserving physiologically relevant baseline conditions. Using this model, we demonstrated that monocytes can efficiently traverse the </w:t>
      </w:r>
      <w:r w:rsidR="00526AAB" w:rsidRPr="007526EC">
        <w:rPr>
          <w:color w:val="000000" w:themeColor="text1"/>
          <w:lang w:val="en-US"/>
        </w:rPr>
        <w:t>BBB</w:t>
      </w:r>
      <w:r w:rsidR="00103D01" w:rsidRPr="007526EC">
        <w:rPr>
          <w:color w:val="000000" w:themeColor="text1"/>
          <w:lang w:val="en-US"/>
        </w:rPr>
        <w:t xml:space="preserve"> and deliver oHSV-1 to GBM spheroids, even in the presence of neutralizing antibodies</w:t>
      </w:r>
      <w:r w:rsidR="00526AAB" w:rsidRPr="007526EC">
        <w:rPr>
          <w:color w:val="000000" w:themeColor="text1"/>
          <w:lang w:val="en-US"/>
        </w:rPr>
        <w:t xml:space="preserve">, further </w:t>
      </w:r>
      <w:r w:rsidR="00A1105B" w:rsidRPr="007526EC">
        <w:rPr>
          <w:color w:val="000000" w:themeColor="text1"/>
          <w:lang w:val="en-US"/>
        </w:rPr>
        <w:t>highlighting</w:t>
      </w:r>
      <w:r w:rsidR="00103D01" w:rsidRPr="007526EC">
        <w:rPr>
          <w:color w:val="000000" w:themeColor="text1"/>
          <w:lang w:val="en-US"/>
        </w:rPr>
        <w:t xml:space="preserve"> the potential of this approach for overcoming key limitations in drug delivery to brain tumors</w:t>
      </w:r>
      <w:r w:rsidR="00526AAB" w:rsidRPr="007526EC">
        <w:rPr>
          <w:color w:val="000000" w:themeColor="text1"/>
          <w:lang w:val="en-US"/>
        </w:rPr>
        <w:t>.</w:t>
      </w:r>
    </w:p>
    <w:p w14:paraId="0000001E" w14:textId="77777777" w:rsidR="00234C7D" w:rsidRPr="007526EC" w:rsidRDefault="00234C7D">
      <w:pPr>
        <w:pBdr>
          <w:top w:val="nil"/>
          <w:left w:val="nil"/>
          <w:bottom w:val="nil"/>
          <w:right w:val="nil"/>
          <w:between w:val="nil"/>
        </w:pBdr>
        <w:spacing w:line="276" w:lineRule="auto"/>
        <w:jc w:val="both"/>
        <w:rPr>
          <w:color w:val="000000" w:themeColor="text1"/>
          <w:lang w:val="en-US"/>
        </w:rPr>
      </w:pPr>
    </w:p>
    <w:p w14:paraId="77DBD6AB" w14:textId="77777777" w:rsidR="00526AAB" w:rsidRPr="007526EC" w:rsidRDefault="00526AAB">
      <w:pPr>
        <w:pBdr>
          <w:top w:val="nil"/>
          <w:left w:val="nil"/>
          <w:bottom w:val="nil"/>
          <w:right w:val="nil"/>
          <w:between w:val="nil"/>
        </w:pBdr>
        <w:spacing w:line="276" w:lineRule="auto"/>
        <w:jc w:val="both"/>
        <w:rPr>
          <w:b/>
          <w:color w:val="000000" w:themeColor="text1"/>
          <w:lang w:val="en-US"/>
        </w:rPr>
      </w:pPr>
    </w:p>
    <w:p w14:paraId="0000001F" w14:textId="77777777" w:rsidR="00234C7D" w:rsidRPr="007526EC" w:rsidRDefault="00C71874">
      <w:pPr>
        <w:pBdr>
          <w:top w:val="nil"/>
          <w:left w:val="nil"/>
          <w:bottom w:val="nil"/>
          <w:right w:val="nil"/>
          <w:between w:val="nil"/>
        </w:pBdr>
        <w:spacing w:line="276" w:lineRule="auto"/>
        <w:jc w:val="both"/>
        <w:rPr>
          <w:b/>
          <w:color w:val="000000" w:themeColor="text1"/>
          <w:lang w:val="en-US"/>
        </w:rPr>
      </w:pPr>
      <w:r w:rsidRPr="007526EC">
        <w:rPr>
          <w:b/>
          <w:color w:val="000000" w:themeColor="text1"/>
          <w:lang w:val="en-US"/>
        </w:rPr>
        <w:t xml:space="preserve">2. Results and discussion </w:t>
      </w:r>
    </w:p>
    <w:p w14:paraId="00000020" w14:textId="77777777" w:rsidR="00234C7D" w:rsidRPr="007526EC" w:rsidRDefault="00C71874">
      <w:pPr>
        <w:numPr>
          <w:ilvl w:val="1"/>
          <w:numId w:val="1"/>
        </w:numPr>
        <w:pBdr>
          <w:top w:val="nil"/>
          <w:left w:val="nil"/>
          <w:bottom w:val="nil"/>
          <w:right w:val="nil"/>
          <w:between w:val="nil"/>
        </w:pBdr>
        <w:spacing w:before="120" w:after="80" w:line="276" w:lineRule="auto"/>
        <w:jc w:val="both"/>
        <w:rPr>
          <w:b/>
          <w:color w:val="000000" w:themeColor="text1"/>
          <w:lang w:val="en-US"/>
        </w:rPr>
      </w:pPr>
      <w:r w:rsidRPr="007526EC">
        <w:rPr>
          <w:b/>
          <w:color w:val="000000" w:themeColor="text1"/>
          <w:lang w:val="en-US"/>
        </w:rPr>
        <w:t>A microfluidic BBB-on-chip model allows growth of multiple cell types and BBB-like permeability</w:t>
      </w:r>
    </w:p>
    <w:p w14:paraId="00000021" w14:textId="16F0BB59"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The BBB-on-chip was designed with a structure consisting of three distinct layers, to replicate the BBB microenvironment and incorporate a 3D GBM tumor culture for advanced cancer modeling (</w:t>
      </w:r>
      <w:r w:rsidRPr="007526EC">
        <w:rPr>
          <w:b/>
          <w:color w:val="000000" w:themeColor="text1"/>
          <w:lang w:val="en-US"/>
        </w:rPr>
        <w:t>Figure 1</w:t>
      </w:r>
      <w:r w:rsidRPr="007526EC">
        <w:rPr>
          <w:color w:val="000000" w:themeColor="text1"/>
          <w:lang w:val="en-US"/>
        </w:rPr>
        <w:t xml:space="preserve">). Each compartment serves a specific role in mimicking the physiological interactions between the blood and brain regions. The apical compartment, highlighted in </w:t>
      </w:r>
      <w:r w:rsidR="005807B7" w:rsidRPr="007526EC">
        <w:rPr>
          <w:color w:val="000000" w:themeColor="text1"/>
          <w:lang w:val="en-US"/>
        </w:rPr>
        <w:t xml:space="preserve">yellow </w:t>
      </w:r>
      <w:r w:rsidRPr="007526EC">
        <w:rPr>
          <w:color w:val="000000" w:themeColor="text1"/>
          <w:lang w:val="en-US"/>
        </w:rPr>
        <w:t xml:space="preserve">in </w:t>
      </w:r>
      <w:r w:rsidRPr="007526EC">
        <w:rPr>
          <w:b/>
          <w:color w:val="000000" w:themeColor="text1"/>
          <w:lang w:val="en-US"/>
        </w:rPr>
        <w:t>Figure 1.A</w:t>
      </w:r>
      <w:r w:rsidRPr="007526EC">
        <w:rPr>
          <w:color w:val="000000" w:themeColor="text1"/>
          <w:lang w:val="en-US"/>
        </w:rPr>
        <w:t xml:space="preserve">, represents the blood-facing side of the BBB. This layer enables the perfusion of culture medium and soluble species, simulating blood flow above the barrier. Continuous perfusion creates dynamic conditions critical for evaluating the transport and permeability of molecules across the BBB. The membrane layer, shown in black in </w:t>
      </w:r>
      <w:r w:rsidRPr="007526EC">
        <w:rPr>
          <w:b/>
          <w:color w:val="000000" w:themeColor="text1"/>
          <w:lang w:val="en-US"/>
        </w:rPr>
        <w:t>Figure 1.A</w:t>
      </w:r>
      <w:r w:rsidRPr="007526EC">
        <w:rPr>
          <w:color w:val="000000" w:themeColor="text1"/>
          <w:lang w:val="en-US"/>
        </w:rPr>
        <w:t xml:space="preserve">, </w:t>
      </w:r>
      <w:r w:rsidR="00977378" w:rsidRPr="007526EC">
        <w:rPr>
          <w:color w:val="000000" w:themeColor="text1"/>
          <w:lang w:val="en-US"/>
        </w:rPr>
        <w:t>has a support</w:t>
      </w:r>
      <w:r w:rsidRPr="007526EC">
        <w:rPr>
          <w:color w:val="000000" w:themeColor="text1"/>
          <w:lang w:val="en-US"/>
        </w:rPr>
        <w:t xml:space="preserve"> role </w:t>
      </w:r>
      <w:r w:rsidR="00977378" w:rsidRPr="007526EC">
        <w:rPr>
          <w:color w:val="000000" w:themeColor="text1"/>
          <w:lang w:val="en-US"/>
        </w:rPr>
        <w:t>and</w:t>
      </w:r>
      <w:r w:rsidRPr="007526EC">
        <w:rPr>
          <w:color w:val="000000" w:themeColor="text1"/>
          <w:lang w:val="en-US"/>
        </w:rPr>
        <w:t xml:space="preserve"> mimic</w:t>
      </w:r>
      <w:r w:rsidR="00977378" w:rsidRPr="007526EC">
        <w:rPr>
          <w:color w:val="000000" w:themeColor="text1"/>
          <w:lang w:val="en-US"/>
        </w:rPr>
        <w:t>s</w:t>
      </w:r>
      <w:r w:rsidRPr="007526EC">
        <w:rPr>
          <w:color w:val="000000" w:themeColor="text1"/>
          <w:lang w:val="en-US"/>
        </w:rPr>
        <w:t xml:space="preserve"> the selective barrier properties of the BBB. The membranes used are made of transparent polyester (PETE) with a 3 </w:t>
      </w:r>
      <w:proofErr w:type="spellStart"/>
      <w:r w:rsidRPr="007526EC">
        <w:rPr>
          <w:color w:val="000000" w:themeColor="text1"/>
          <w:lang w:val="en-US"/>
        </w:rPr>
        <w:t>μm</w:t>
      </w:r>
      <w:proofErr w:type="spellEnd"/>
      <w:r w:rsidRPr="007526EC">
        <w:rPr>
          <w:color w:val="000000" w:themeColor="text1"/>
          <w:lang w:val="en-US"/>
        </w:rPr>
        <w:t xml:space="preserve"> pore diameter. The basolateral compartment, marked in </w:t>
      </w:r>
      <w:r w:rsidR="005807B7" w:rsidRPr="007526EC">
        <w:rPr>
          <w:color w:val="000000" w:themeColor="text1"/>
          <w:lang w:val="en-US"/>
        </w:rPr>
        <w:t>red</w:t>
      </w:r>
      <w:r w:rsidRPr="007526EC">
        <w:rPr>
          <w:color w:val="000000" w:themeColor="text1"/>
          <w:lang w:val="en-US"/>
        </w:rPr>
        <w:t xml:space="preserve"> in </w:t>
      </w:r>
      <w:r w:rsidRPr="007526EC">
        <w:rPr>
          <w:b/>
          <w:color w:val="000000" w:themeColor="text1"/>
          <w:lang w:val="en-US"/>
        </w:rPr>
        <w:t>Figure 1.A</w:t>
      </w:r>
      <w:r w:rsidRPr="007526EC">
        <w:rPr>
          <w:color w:val="000000" w:themeColor="text1"/>
          <w:lang w:val="en-US"/>
        </w:rPr>
        <w:t xml:space="preserve">, represents the brain-facing side of the BBB. This compartment includes a tumor area composed of three microwells designed to accommodate 3D spheroids (red dashed box in </w:t>
      </w:r>
      <w:r w:rsidRPr="007526EC">
        <w:rPr>
          <w:b/>
          <w:color w:val="000000" w:themeColor="text1"/>
          <w:lang w:val="en-US"/>
        </w:rPr>
        <w:t>Figure 1.B</w:t>
      </w:r>
      <w:r w:rsidRPr="007526EC">
        <w:rPr>
          <w:color w:val="000000" w:themeColor="text1"/>
          <w:lang w:val="en-US"/>
        </w:rPr>
        <w:t xml:space="preserve">). The inclusion of the tumor compartment </w:t>
      </w:r>
      <w:r w:rsidRPr="007526EC">
        <w:rPr>
          <w:color w:val="000000" w:themeColor="text1"/>
          <w:lang w:val="en-US"/>
        </w:rPr>
        <w:lastRenderedPageBreak/>
        <w:t xml:space="preserve">provides a physiologically relevant microenvironment to study tumor-BBB interactions, drug penetration, and spheroid behavior under perfused conditions. </w:t>
      </w:r>
    </w:p>
    <w:p w14:paraId="00000022" w14:textId="1C10CA3B"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Stable co-culture within the BBB-on-chip follows an optimized sequential seeding protocol to ensure the proper attachment and viability of all cell lines. Astrocytes and pericytes are first seeded on the basolateral side of the porous PETE membrane and then incubated overnight to facilitate adhesion. The following day, human umbilical vein endothelial </w:t>
      </w:r>
      <w:r w:rsidR="00977378" w:rsidRPr="007526EC">
        <w:rPr>
          <w:color w:val="000000" w:themeColor="text1"/>
          <w:lang w:val="en-US"/>
        </w:rPr>
        <w:t>cells (</w:t>
      </w:r>
      <w:r w:rsidRPr="007526EC">
        <w:rPr>
          <w:color w:val="000000" w:themeColor="text1"/>
          <w:lang w:val="en-US"/>
        </w:rPr>
        <w:t xml:space="preserve">HUVECs) are seeded on the apical side to complete the BBB structure. Live/Dead assay results, presented in </w:t>
      </w:r>
      <w:r w:rsidRPr="007526EC">
        <w:rPr>
          <w:b/>
          <w:color w:val="000000" w:themeColor="text1"/>
          <w:lang w:val="en-US"/>
        </w:rPr>
        <w:t>Supplementary Figure S.1</w:t>
      </w:r>
      <w:r w:rsidRPr="007526EC">
        <w:rPr>
          <w:color w:val="000000" w:themeColor="text1"/>
          <w:lang w:val="en-US"/>
        </w:rPr>
        <w:t xml:space="preserve">, demonstrate successful attachment and high viability of all cell types on their respective side of the PETE membrane. These findings confirm that the seeding protocol and microenvironment within the BBB-on-chip are suitable for the growth and maintenance of the three-culture model. </w:t>
      </w:r>
    </w:p>
    <w:p w14:paraId="00000023" w14:textId="329F86C2"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Based on the results of numerical simulations, the cell culture medium perfusion flow rate through the blood side (Inlet/Outlet 2 in </w:t>
      </w:r>
      <w:r w:rsidRPr="007526EC">
        <w:rPr>
          <w:b/>
          <w:color w:val="000000" w:themeColor="text1"/>
          <w:lang w:val="en-US"/>
        </w:rPr>
        <w:t>Figure 1.B</w:t>
      </w:r>
      <w:r w:rsidRPr="007526EC">
        <w:rPr>
          <w:color w:val="000000" w:themeColor="text1"/>
          <w:lang w:val="en-US"/>
        </w:rPr>
        <w:t xml:space="preserve">) is set to 30 µL/min, corresponding to a shear stress at the bottom wall of ~7 dyne/cm² (see </w:t>
      </w:r>
      <w:r w:rsidRPr="007526EC">
        <w:rPr>
          <w:b/>
          <w:color w:val="000000" w:themeColor="text1"/>
          <w:lang w:val="en-US"/>
        </w:rPr>
        <w:t>Supplementary Figure S.2</w:t>
      </w:r>
      <w:r w:rsidRPr="007526EC">
        <w:rPr>
          <w:color w:val="000000" w:themeColor="text1"/>
          <w:lang w:val="en-US"/>
        </w:rPr>
        <w:t xml:space="preserve"> for additional details). This value falls within the physiological shear stress range reported in the literature for blood vessels, which is between 3-25 dyne/cm²</w:t>
      </w:r>
      <w:r w:rsidR="00A16187" w:rsidRPr="007526EC">
        <w:rPr>
          <w:color w:val="000000" w:themeColor="text1"/>
          <w:lang w:val="en-US"/>
        </w:rPr>
        <w:fldChar w:fldCharType="begin" w:fldLock="1"/>
      </w:r>
      <w:r w:rsidR="004D56B1" w:rsidRPr="007526EC">
        <w:rPr>
          <w:color w:val="000000" w:themeColor="text1"/>
          <w:lang w:val="en-US"/>
        </w:rPr>
        <w:instrText>ADDIN CSL_CITATION {"citationItems":[{"id":"ITEM-1","itemData":{"DOI":"10.1007/BF02463726","ISSN":"0092-8240 (Print)","PMID":"6713148","author":[{"dropping-particle":"","family":"Kamiya","given":"A","non-dropping-particle":"","parse-names":false,"suffix":""},{"dropping-particle":"","family":"Bukhari","given":"R","non-dropping-particle":"","parse-names":false,"suffix":""},{"dropping-particle":"","family":"Togawa","given":"T","non-dropping-particle":"","parse-names":false,"suffix":""}],"container-title":"Bulletin of mathematical biology","id":"ITEM-1","issue":"1","issued":{"date-parts":[["1984"]]},"language":"eng","page":"127-137","publisher-place":"United States","title":"Adaptive regulation of wall shear stress optimizing vascular tree function.","type":"article-journal","volume":"46"},"uris":["http://www.mendeley.com/documents/?uuid=2ce4d121-6627-4ce7-9c7c-e9462c97c00e"]}],"mendeley":{"formattedCitation":"&lt;sup&gt;[30]&lt;/sup&gt;","plainTextFormattedCitation":"[30]","previouslyFormattedCitation":"&lt;sup&gt;[30]&lt;/sup&gt;"},"properties":{"noteIndex":0},"schema":"https://github.com/citation-style-language/schema/raw/master/csl-citation.json"}</w:instrText>
      </w:r>
      <w:r w:rsidR="00A16187" w:rsidRPr="007526EC">
        <w:rPr>
          <w:color w:val="000000" w:themeColor="text1"/>
          <w:lang w:val="en-US"/>
        </w:rPr>
        <w:fldChar w:fldCharType="separate"/>
      </w:r>
      <w:r w:rsidR="008A437C" w:rsidRPr="007526EC">
        <w:rPr>
          <w:noProof/>
          <w:color w:val="000000" w:themeColor="text1"/>
          <w:vertAlign w:val="superscript"/>
          <w:lang w:val="en-US"/>
        </w:rPr>
        <w:t>[30]</w:t>
      </w:r>
      <w:r w:rsidR="00A16187" w:rsidRPr="007526EC">
        <w:rPr>
          <w:color w:val="000000" w:themeColor="text1"/>
          <w:lang w:val="en-US"/>
        </w:rPr>
        <w:fldChar w:fldCharType="end"/>
      </w:r>
      <w:r w:rsidRPr="007526EC">
        <w:rPr>
          <w:color w:val="000000" w:themeColor="text1"/>
          <w:lang w:val="en-US"/>
        </w:rPr>
        <w:t xml:space="preserve"> and plays a critical role in maintaining BBB integrity and function. Physiological shear stress levels are also essential for regulating endothelial cell function, promoting barrier tightness, and facilitating proper nutrient and waste exchange. </w:t>
      </w:r>
    </w:p>
    <w:p w14:paraId="00000024" w14:textId="79544AC6" w:rsidR="00234C7D" w:rsidRPr="007526EC" w:rsidRDefault="00C71874">
      <w:pPr>
        <w:pBdr>
          <w:top w:val="nil"/>
          <w:left w:val="nil"/>
          <w:bottom w:val="nil"/>
          <w:right w:val="nil"/>
          <w:between w:val="nil"/>
        </w:pBdr>
        <w:spacing w:line="276" w:lineRule="auto"/>
        <w:jc w:val="both"/>
        <w:rPr>
          <w:b/>
          <w:color w:val="000000" w:themeColor="text1"/>
          <w:lang w:val="en-US"/>
        </w:rPr>
      </w:pPr>
      <w:r w:rsidRPr="007526EC">
        <w:rPr>
          <w:color w:val="000000" w:themeColor="text1"/>
          <w:lang w:val="en-US"/>
        </w:rPr>
        <w:t xml:space="preserve">After seeding, the maturation of the barrier in the microdevices was monitored over the course of 7 days, performing daily </w:t>
      </w:r>
      <w:proofErr w:type="spellStart"/>
      <w:r w:rsidRPr="007526EC">
        <w:rPr>
          <w:color w:val="000000" w:themeColor="text1"/>
          <w:lang w:val="en-US"/>
        </w:rPr>
        <w:t>Transendothelial</w:t>
      </w:r>
      <w:proofErr w:type="spellEnd"/>
      <w:r w:rsidRPr="007526EC">
        <w:rPr>
          <w:color w:val="000000" w:themeColor="text1"/>
          <w:lang w:val="en-US"/>
        </w:rPr>
        <w:t xml:space="preserve"> Electrical Resistance (TEER) measurements using a </w:t>
      </w:r>
      <w:proofErr w:type="spellStart"/>
      <w:r w:rsidRPr="007526EC">
        <w:rPr>
          <w:color w:val="000000" w:themeColor="text1"/>
          <w:lang w:val="en-US"/>
        </w:rPr>
        <w:t>voltohmmeter</w:t>
      </w:r>
      <w:proofErr w:type="spellEnd"/>
      <w:r w:rsidRPr="007526EC">
        <w:rPr>
          <w:color w:val="000000" w:themeColor="text1"/>
          <w:lang w:val="en-US"/>
        </w:rPr>
        <w:t xml:space="preserve"> (</w:t>
      </w:r>
      <w:r w:rsidRPr="007526EC">
        <w:rPr>
          <w:b/>
          <w:color w:val="000000" w:themeColor="text1"/>
          <w:lang w:val="en-US"/>
        </w:rPr>
        <w:t>Figure 1.C</w:t>
      </w:r>
      <w:r w:rsidRPr="007526EC">
        <w:rPr>
          <w:color w:val="000000" w:themeColor="text1"/>
          <w:lang w:val="en-US"/>
        </w:rPr>
        <w:t>). TEER values progressively increase over time, peaking at approximately 340 Ωxcm² on day 7, indicating the successful formation and maturation of the barrier, consistently with available literature data for comparable on-chip systems.</w:t>
      </w:r>
      <w:r w:rsidR="00A16187" w:rsidRPr="007526EC">
        <w:rPr>
          <w:color w:val="000000" w:themeColor="text1"/>
          <w:lang w:val="en-US"/>
        </w:rPr>
        <w:fldChar w:fldCharType="begin" w:fldLock="1"/>
      </w:r>
      <w:r w:rsidR="004D56B1" w:rsidRPr="007526EC">
        <w:rPr>
          <w:color w:val="000000" w:themeColor="text1"/>
          <w:lang w:val="en-US"/>
        </w:rPr>
        <w:instrText>ADDIN CSL_CITATION {"citationItems":[{"id":"ITEM-1","itemData":{"DOI":"10.1016/j.copbio.2020.06.009","ISSN":"1879-0429 (Electronic)","PMID":"32711361","abstract":"Though the blood-brain barrier (BBB) is vital for the maintenance of brain  homeostasis, it also accounts for a high attrition rate of therapies targeting the central nervous system (CNS). The challenge of delivery across the BBB is attributed to a combination of low permeability through an endothelium closely knit by tight and adherens junctions, extremely low rates of endothelial transcytosis, and efflux transporters. In the past decade, enormous research efforts have been spent to develop BBB penetration strategies using biochemical or physical stimuli, aided by BBB-on-chips or microphysiological BBB models to facilitate in vitro studies. Here, we discuss recent advances in BBB-chip technology that have enabled effective preclinical screenings of brain targeting therapeutics and external stimulation, such as sonoporation and electroporation, for improved BBB penetration.","author":[{"dropping-particle":"","family":"Lee","given":"Caleb S","non-dropping-particle":"","parse-names":false,"suffix":""},{"dropping-particle":"","family":"Leong","given":"Kam W","non-dropping-particle":"","parse-names":false,"suffix":""}],"container-title":"Current opinion in biotechnology","id":"ITEM-1","issued":{"date-parts":[["2020","12"]]},"language":"eng","page":"78-87","publisher-place":"England","title":"Advances in microphysiological blood-brain barrier (BBB) models towards drug  delivery.","type":"article-journal","volume":"66"},"uris":["http://www.mendeley.com/documents/?uuid=5bd9a889-d685-45df-bb69-9ef687367e27"]}],"mendeley":{"formattedCitation":"&lt;sup&gt;[31]&lt;/sup&gt;","plainTextFormattedCitation":"[31]","previouslyFormattedCitation":"&lt;sup&gt;[31]&lt;/sup&gt;"},"properties":{"noteIndex":0},"schema":"https://github.com/citation-style-language/schema/raw/master/csl-citation.json"}</w:instrText>
      </w:r>
      <w:r w:rsidR="00A16187" w:rsidRPr="007526EC">
        <w:rPr>
          <w:color w:val="000000" w:themeColor="text1"/>
          <w:lang w:val="en-US"/>
        </w:rPr>
        <w:fldChar w:fldCharType="separate"/>
      </w:r>
      <w:r w:rsidR="008A437C" w:rsidRPr="007526EC">
        <w:rPr>
          <w:noProof/>
          <w:color w:val="000000" w:themeColor="text1"/>
          <w:vertAlign w:val="superscript"/>
          <w:lang w:val="en-US"/>
        </w:rPr>
        <w:t>[31]</w:t>
      </w:r>
      <w:r w:rsidR="00A16187" w:rsidRPr="007526EC">
        <w:rPr>
          <w:color w:val="000000" w:themeColor="text1"/>
          <w:lang w:val="en-US"/>
        </w:rPr>
        <w:fldChar w:fldCharType="end"/>
      </w:r>
    </w:p>
    <w:p w14:paraId="00000025" w14:textId="4C2FC2D5"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After 7 days of perfused culture, the identity of cells growing on both sides of the membrane was confirmed by </w:t>
      </w:r>
      <w:r w:rsidR="005807B7" w:rsidRPr="007526EC">
        <w:rPr>
          <w:color w:val="000000" w:themeColor="text1"/>
          <w:lang w:val="en-US"/>
        </w:rPr>
        <w:t>immunofluorescence (</w:t>
      </w:r>
      <w:r w:rsidR="00D81A0F" w:rsidRPr="007526EC">
        <w:rPr>
          <w:color w:val="000000" w:themeColor="text1"/>
          <w:lang w:val="en-US"/>
        </w:rPr>
        <w:t>IF</w:t>
      </w:r>
      <w:r w:rsidR="005807B7" w:rsidRPr="007526EC">
        <w:rPr>
          <w:color w:val="000000" w:themeColor="text1"/>
          <w:lang w:val="en-US"/>
        </w:rPr>
        <w:t>)</w:t>
      </w:r>
      <w:r w:rsidRPr="007526EC">
        <w:rPr>
          <w:color w:val="000000" w:themeColor="text1"/>
          <w:lang w:val="en-US"/>
        </w:rPr>
        <w:t>. Specifically, we detected platelet and endothelial cell adhesion molecule 1 (PECAM, or CD31) and zonula occludens-1 (ZO-1) in the endothelial layer of the membrane. Both proteins are involved in endothelial cell junctions and ZO-1 plays a prominent role in the formation of tight junctions, fundamental for BBB function. On the brain side of the barrier, we detected glial fibrillary acidic protein (GFAP), a widely used marker for astrocytes (</w:t>
      </w:r>
      <w:r w:rsidRPr="007526EC">
        <w:rPr>
          <w:b/>
          <w:color w:val="000000" w:themeColor="text1"/>
          <w:lang w:val="en-US"/>
        </w:rPr>
        <w:t>Figure 1.E</w:t>
      </w:r>
      <w:r w:rsidRPr="007526EC">
        <w:rPr>
          <w:color w:val="000000" w:themeColor="text1"/>
          <w:lang w:val="en-US"/>
        </w:rPr>
        <w:t>). Astrocytes are critical in maintaining BBB integrity by regulating tight junction formation, providing metabolic support, and modulating the selective permeability of the barrier.</w:t>
      </w:r>
      <w:r w:rsidR="00A16187" w:rsidRPr="007526EC">
        <w:rPr>
          <w:color w:val="000000" w:themeColor="text1"/>
          <w:lang w:val="en-US"/>
        </w:rPr>
        <w:fldChar w:fldCharType="begin" w:fldLock="1"/>
      </w:r>
      <w:r w:rsidR="004D56B1" w:rsidRPr="007526EC">
        <w:rPr>
          <w:color w:val="000000" w:themeColor="text1"/>
          <w:lang w:val="en-US"/>
        </w:rPr>
        <w:instrText>ADDIN CSL_CITATION {"citationItems":[{"id":"ITEM-1","itemData":{"DOI":"10.3390/ijms25126496","ISBN":"8129863669","ISSN":"14220067","PMID":"38928202","abstract":"Blood–brain barrier (BBB) dysfunction is a key feature in neuroimmunological and neurodegenerative diseases. In this study, we developed a microfluidic human BBB-on-a-chip to model barrier dysfunction and immune cell migration using immortalized TY10 brain endothelial cells, pericytes, and astrocytes. It was found that immortalized TY10 brain endothelial cells developed a microvascular structure under flow. Pericytes were localized on the basal side surrounding the TY10 microvascular structure, showing an in vivo-like structure. Barrier integrity increased under co-culture with pericytes. In addition, both ethylenediaminetetraacetic acid (EDTA) and anti-Claudin-5 (CLDN5) neutralizing antibody caused a decrease in the transendothelial electrical resistance (TEER). EDTA caused the leakage of 20 kDa dextran, suggesting different effects on the BBB based on the mechanism of action, whereas anti-CLDN5 antibody did not cause leakage. In the tri-culture model, human T cells migrated through endothelial vessels towards basal C-X-C motif chemokine ligand 12 (CXCL12). The live-imaging analysis confirmed the extravasation of fluorescence-labelled T cells in a CXCL12-concentration- and time-dependent manner. Our BBB model had an in vivo-like structure and successfully represented barrier dysfunction and transendothelial T cell migration. In addition, our study suggests that the inhibition of CLDN5 attenuates the BBB in humans. This platform has various potential uses in relation to the BBB in both drug discovery research and in elucidating the mechanisms of central nervous system diseases.","author":[{"dropping-particle":"","family":"Ohbuchi","given":"Masato","non-dropping-particle":"","parse-names":false,"suffix":""},{"dropping-particle":"","family":"Shibuta","given":"Mayu","non-dropping-particle":"","parse-names":false,"suffix":""},{"dropping-particle":"","family":"Tetsuka","given":"Kazuhiro","non-dropping-particle":"","parse-names":false,"suffix":""},{"dropping-particle":"","family":"Sasaki-Iwaoka","given":"Haruna","non-dropping-particle":"","parse-names":false,"suffix":""},{"dropping-particle":"","family":"Oishi","given":"Masayo","non-dropping-particle":"","parse-names":false,"suffix":""},{"dropping-particle":"","family":"Shimizu","given":"Fumitaka","non-dropping-particle":"","parse-names":false,"suffix":""},{"dropping-particle":"","family":"Nagasaka","given":"Yasuhisa","non-dropping-particle":"","parse-names":false,"suffix":""}],"container-title":"International Journal of Molecular Sciences","id":"ITEM-1","issue":"12","issued":{"date-parts":[["2024"]]},"title":"Modeling of Blood–Brain Barrier (BBB) Dysfunction and Immune Cell Migration Using Human BBB-on-a-Chip for Drug Discovery Research","type":"article-journal","volume":"25"},"uris":["http://www.mendeley.com/documents/?uuid=519e9d7b-bcac-4cad-b4d9-848401d3e4a5"]}],"mendeley":{"formattedCitation":"&lt;sup&gt;[32]&lt;/sup&gt;","plainTextFormattedCitation":"[32]","previouslyFormattedCitation":"&lt;sup&gt;[32]&lt;/sup&gt;"},"properties":{"noteIndex":0},"schema":"https://github.com/citation-style-language/schema/raw/master/csl-citation.json"}</w:instrText>
      </w:r>
      <w:r w:rsidR="00A16187" w:rsidRPr="007526EC">
        <w:rPr>
          <w:color w:val="000000" w:themeColor="text1"/>
          <w:lang w:val="en-US"/>
        </w:rPr>
        <w:fldChar w:fldCharType="separate"/>
      </w:r>
      <w:r w:rsidR="008A437C" w:rsidRPr="007526EC">
        <w:rPr>
          <w:noProof/>
          <w:color w:val="000000" w:themeColor="text1"/>
          <w:vertAlign w:val="superscript"/>
          <w:lang w:val="en-US"/>
        </w:rPr>
        <w:t>[32]</w:t>
      </w:r>
      <w:r w:rsidR="00A16187" w:rsidRPr="007526EC">
        <w:rPr>
          <w:color w:val="000000" w:themeColor="text1"/>
          <w:lang w:val="en-US"/>
        </w:rPr>
        <w:fldChar w:fldCharType="end"/>
      </w:r>
      <w:r w:rsidRPr="007526EC">
        <w:rPr>
          <w:color w:val="000000" w:themeColor="text1"/>
          <w:lang w:val="en-US"/>
        </w:rPr>
        <w:t xml:space="preserve"> Combined with the observed TEER increase, these results confirm the successful recreation of a functional BBB-like barrier within the microdevices.</w:t>
      </w:r>
    </w:p>
    <w:p w14:paraId="00000026" w14:textId="2258BE5C"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We also tested the ability of our BBB model to restrict molecular diffusion using FITC-conjugated </w:t>
      </w:r>
      <w:proofErr w:type="spellStart"/>
      <w:r w:rsidRPr="007526EC">
        <w:rPr>
          <w:color w:val="000000" w:themeColor="text1"/>
          <w:lang w:val="en-US"/>
        </w:rPr>
        <w:t>dextrans</w:t>
      </w:r>
      <w:proofErr w:type="spellEnd"/>
      <w:r w:rsidRPr="007526EC">
        <w:rPr>
          <w:color w:val="000000" w:themeColor="text1"/>
          <w:lang w:val="en-US"/>
        </w:rPr>
        <w:t xml:space="preserve"> in a permeability assay. </w:t>
      </w:r>
      <w:proofErr w:type="spellStart"/>
      <w:r w:rsidRPr="007526EC">
        <w:rPr>
          <w:color w:val="000000" w:themeColor="text1"/>
          <w:lang w:val="en-US"/>
        </w:rPr>
        <w:t>Dextrans</w:t>
      </w:r>
      <w:proofErr w:type="spellEnd"/>
      <w:r w:rsidRPr="007526EC">
        <w:rPr>
          <w:color w:val="000000" w:themeColor="text1"/>
          <w:lang w:val="en-US"/>
        </w:rPr>
        <w:t xml:space="preserve"> of different molecular weights (40, 70, and 150 </w:t>
      </w:r>
      <w:proofErr w:type="spellStart"/>
      <w:r w:rsidRPr="007526EC">
        <w:rPr>
          <w:color w:val="000000" w:themeColor="text1"/>
          <w:lang w:val="en-US"/>
        </w:rPr>
        <w:t>kDa</w:t>
      </w:r>
      <w:proofErr w:type="spellEnd"/>
      <w:r w:rsidRPr="007526EC">
        <w:rPr>
          <w:color w:val="000000" w:themeColor="text1"/>
          <w:lang w:val="en-US"/>
        </w:rPr>
        <w:t xml:space="preserve">) are perfused through the apical (blood channel) side of the device at a flow rate of 5 µL/min. Fluorescence intensity is monitored in the tumor area across the three microwells using a fluorescence microscope with a 488 nm filter, and mean intensity values from specific regions of interest (ROI) are quantified with ImageJ software. To address the role of each cell type in determining the physiological compliance of the barrier after 7 days of perfused culture, we tested the permeability in: </w:t>
      </w:r>
      <w:proofErr w:type="spellStart"/>
      <w:r w:rsidRPr="007526EC">
        <w:rPr>
          <w:i/>
          <w:color w:val="000000" w:themeColor="text1"/>
          <w:lang w:val="en-US"/>
        </w:rPr>
        <w:t>i</w:t>
      </w:r>
      <w:proofErr w:type="spellEnd"/>
      <w:r w:rsidRPr="007526EC">
        <w:rPr>
          <w:i/>
          <w:color w:val="000000" w:themeColor="text1"/>
          <w:lang w:val="en-US"/>
        </w:rPr>
        <w:t>.</w:t>
      </w:r>
      <w:r w:rsidRPr="007526EC">
        <w:rPr>
          <w:color w:val="000000" w:themeColor="text1"/>
          <w:lang w:val="en-US"/>
        </w:rPr>
        <w:t xml:space="preserve"> control devices without cells, </w:t>
      </w:r>
      <w:r w:rsidRPr="007526EC">
        <w:rPr>
          <w:i/>
          <w:color w:val="000000" w:themeColor="text1"/>
          <w:lang w:val="en-US"/>
        </w:rPr>
        <w:t xml:space="preserve">ii. </w:t>
      </w:r>
      <w:r w:rsidRPr="007526EC">
        <w:rPr>
          <w:color w:val="000000" w:themeColor="text1"/>
          <w:lang w:val="en-US"/>
        </w:rPr>
        <w:t xml:space="preserve">devices seeded with a HUVECs monolayer only, and </w:t>
      </w:r>
      <w:r w:rsidRPr="007526EC">
        <w:rPr>
          <w:i/>
          <w:color w:val="000000" w:themeColor="text1"/>
          <w:lang w:val="en-US"/>
        </w:rPr>
        <w:t xml:space="preserve">iii. </w:t>
      </w:r>
      <w:r w:rsidRPr="007526EC">
        <w:rPr>
          <w:color w:val="000000" w:themeColor="text1"/>
          <w:lang w:val="en-US"/>
        </w:rPr>
        <w:t xml:space="preserve">the complete BBB model incorporating HUVECs, astrocytes, and pericytes. Representative permeability values are shown in </w:t>
      </w:r>
      <w:r w:rsidRPr="007526EC">
        <w:rPr>
          <w:b/>
          <w:color w:val="000000" w:themeColor="text1"/>
          <w:lang w:val="en-US"/>
        </w:rPr>
        <w:t xml:space="preserve">Figure 1.D </w:t>
      </w:r>
      <w:r w:rsidRPr="007526EC">
        <w:rPr>
          <w:color w:val="000000" w:themeColor="text1"/>
          <w:lang w:val="en-US"/>
        </w:rPr>
        <w:t xml:space="preserve">and demonstrate a clear correlation between dextran molecular weight and diffusion resistance. </w:t>
      </w:r>
      <w:r w:rsidR="005076C5" w:rsidRPr="007526EC">
        <w:rPr>
          <w:color w:val="000000" w:themeColor="text1"/>
          <w:lang w:val="en-US"/>
        </w:rPr>
        <w:t>Higher molecular weight</w:t>
      </w:r>
      <w:r w:rsidR="00262E33" w:rsidRPr="007526EC">
        <w:rPr>
          <w:color w:val="000000" w:themeColor="text1"/>
          <w:lang w:val="en-US"/>
        </w:rPr>
        <w:t xml:space="preserve"> </w:t>
      </w:r>
      <w:proofErr w:type="spellStart"/>
      <w:r w:rsidR="005076C5" w:rsidRPr="007526EC">
        <w:rPr>
          <w:color w:val="000000" w:themeColor="text1"/>
          <w:lang w:val="en-US"/>
        </w:rPr>
        <w:t>d</w:t>
      </w:r>
      <w:r w:rsidRPr="007526EC">
        <w:rPr>
          <w:color w:val="000000" w:themeColor="text1"/>
          <w:lang w:val="en-US"/>
        </w:rPr>
        <w:t>extrans</w:t>
      </w:r>
      <w:proofErr w:type="spellEnd"/>
      <w:r w:rsidRPr="007526EC">
        <w:rPr>
          <w:color w:val="000000" w:themeColor="text1"/>
          <w:lang w:val="en-US"/>
        </w:rPr>
        <w:t xml:space="preserve"> (70</w:t>
      </w:r>
      <w:r w:rsidR="005076C5" w:rsidRPr="007526EC">
        <w:rPr>
          <w:color w:val="000000" w:themeColor="text1"/>
          <w:lang w:val="en-US"/>
        </w:rPr>
        <w:t>,</w:t>
      </w:r>
      <w:r w:rsidRPr="007526EC">
        <w:rPr>
          <w:color w:val="000000" w:themeColor="text1"/>
          <w:lang w:val="en-US"/>
        </w:rPr>
        <w:t xml:space="preserve"> 150 </w:t>
      </w:r>
      <w:proofErr w:type="spellStart"/>
      <w:r w:rsidRPr="007526EC">
        <w:rPr>
          <w:color w:val="000000" w:themeColor="text1"/>
          <w:lang w:val="en-US"/>
        </w:rPr>
        <w:t>kDa</w:t>
      </w:r>
      <w:proofErr w:type="spellEnd"/>
      <w:r w:rsidRPr="007526EC">
        <w:rPr>
          <w:color w:val="000000" w:themeColor="text1"/>
          <w:lang w:val="en-US"/>
        </w:rPr>
        <w:t>) accumulat</w:t>
      </w:r>
      <w:r w:rsidR="00262E33" w:rsidRPr="007526EC">
        <w:rPr>
          <w:color w:val="000000" w:themeColor="text1"/>
          <w:lang w:val="en-US"/>
        </w:rPr>
        <w:t>e more slowly</w:t>
      </w:r>
      <w:r w:rsidRPr="007526EC">
        <w:rPr>
          <w:color w:val="000000" w:themeColor="text1"/>
          <w:lang w:val="en-US"/>
        </w:rPr>
        <w:t xml:space="preserve"> in the microwells across all experimental conditions, </w:t>
      </w:r>
      <w:r w:rsidR="00262E33" w:rsidRPr="007526EC">
        <w:rPr>
          <w:color w:val="000000" w:themeColor="text1"/>
          <w:lang w:val="en-US"/>
        </w:rPr>
        <w:t>reflecting</w:t>
      </w:r>
      <w:r w:rsidRPr="007526EC">
        <w:rPr>
          <w:color w:val="000000" w:themeColor="text1"/>
          <w:lang w:val="en-US"/>
        </w:rPr>
        <w:t xml:space="preserve"> increased difficulty in crossing the barrier. </w:t>
      </w:r>
      <w:r w:rsidR="00262E33" w:rsidRPr="007526EC">
        <w:rPr>
          <w:color w:val="000000" w:themeColor="text1"/>
          <w:lang w:val="en-US"/>
        </w:rPr>
        <w:lastRenderedPageBreak/>
        <w:t>As expected, c</w:t>
      </w:r>
      <w:r w:rsidRPr="007526EC">
        <w:rPr>
          <w:color w:val="000000" w:themeColor="text1"/>
          <w:lang w:val="en-US"/>
        </w:rPr>
        <w:t>ontrol devices without cells show the highest permeability</w:t>
      </w:r>
      <w:r w:rsidR="008C65D6" w:rsidRPr="007526EC">
        <w:rPr>
          <w:color w:val="000000" w:themeColor="text1"/>
          <w:lang w:val="en-US"/>
        </w:rPr>
        <w:t>.</w:t>
      </w:r>
      <w:r w:rsidR="005076C5" w:rsidRPr="007526EC">
        <w:rPr>
          <w:color w:val="000000" w:themeColor="text1"/>
          <w:lang w:val="en-US"/>
        </w:rPr>
        <w:t xml:space="preserve"> </w:t>
      </w:r>
      <w:r w:rsidR="008C65D6" w:rsidRPr="007526EC">
        <w:rPr>
          <w:color w:val="000000" w:themeColor="text1"/>
          <w:lang w:val="en-US"/>
        </w:rPr>
        <w:t>Introducing</w:t>
      </w:r>
      <w:r w:rsidRPr="007526EC">
        <w:rPr>
          <w:color w:val="000000" w:themeColor="text1"/>
          <w:lang w:val="en-US"/>
        </w:rPr>
        <w:t xml:space="preserve"> a HUVEC monolayer significantly reduced permeability, further decreas</w:t>
      </w:r>
      <w:r w:rsidR="008C65D6" w:rsidRPr="007526EC">
        <w:rPr>
          <w:color w:val="000000" w:themeColor="text1"/>
          <w:lang w:val="en-US"/>
        </w:rPr>
        <w:t>ing</w:t>
      </w:r>
      <w:r w:rsidRPr="007526EC">
        <w:rPr>
          <w:color w:val="000000" w:themeColor="text1"/>
          <w:lang w:val="en-US"/>
        </w:rPr>
        <w:t xml:space="preserve"> with the addition of astrocytes and pericytes. These findings </w:t>
      </w:r>
      <w:r w:rsidR="008C65D6" w:rsidRPr="007526EC">
        <w:rPr>
          <w:color w:val="000000" w:themeColor="text1"/>
          <w:lang w:val="en-US"/>
        </w:rPr>
        <w:t>demonstrate</w:t>
      </w:r>
      <w:r w:rsidRPr="007526EC">
        <w:rPr>
          <w:color w:val="000000" w:themeColor="text1"/>
          <w:lang w:val="en-US"/>
        </w:rPr>
        <w:t xml:space="preserve"> that the </w:t>
      </w:r>
      <w:r w:rsidR="008C65D6" w:rsidRPr="007526EC">
        <w:rPr>
          <w:color w:val="000000" w:themeColor="text1"/>
          <w:lang w:val="en-US"/>
        </w:rPr>
        <w:t>inclusion</w:t>
      </w:r>
      <w:r w:rsidRPr="007526EC">
        <w:rPr>
          <w:color w:val="000000" w:themeColor="text1"/>
          <w:lang w:val="en-US"/>
        </w:rPr>
        <w:t xml:space="preserve"> of astrocytes and pericytes </w:t>
      </w:r>
      <w:r w:rsidR="008C65D6" w:rsidRPr="007526EC">
        <w:rPr>
          <w:color w:val="000000" w:themeColor="text1"/>
          <w:lang w:val="en-US"/>
        </w:rPr>
        <w:t xml:space="preserve">significantly improves </w:t>
      </w:r>
      <w:r w:rsidRPr="007526EC">
        <w:rPr>
          <w:color w:val="000000" w:themeColor="text1"/>
          <w:lang w:val="en-US"/>
        </w:rPr>
        <w:t xml:space="preserve">barrier selectivity, </w:t>
      </w:r>
      <w:r w:rsidR="008C65D6" w:rsidRPr="007526EC">
        <w:rPr>
          <w:color w:val="000000" w:themeColor="text1"/>
          <w:lang w:val="en-US"/>
        </w:rPr>
        <w:t>recapitulating</w:t>
      </w:r>
      <w:r w:rsidRPr="007526EC">
        <w:rPr>
          <w:color w:val="000000" w:themeColor="text1"/>
          <w:lang w:val="en-US"/>
        </w:rPr>
        <w:t xml:space="preserve"> the tight </w:t>
      </w:r>
      <w:proofErr w:type="gramStart"/>
      <w:r w:rsidRPr="007526EC">
        <w:rPr>
          <w:color w:val="000000" w:themeColor="text1"/>
          <w:lang w:val="en-US"/>
        </w:rPr>
        <w:t>junctions</w:t>
      </w:r>
      <w:proofErr w:type="gramEnd"/>
      <w:r w:rsidRPr="007526EC">
        <w:rPr>
          <w:color w:val="000000" w:themeColor="text1"/>
          <w:lang w:val="en-US"/>
        </w:rPr>
        <w:t xml:space="preserve"> </w:t>
      </w:r>
      <w:r w:rsidR="008C65D6" w:rsidRPr="007526EC">
        <w:rPr>
          <w:color w:val="000000" w:themeColor="text1"/>
          <w:lang w:val="en-US"/>
        </w:rPr>
        <w:t xml:space="preserve">organization </w:t>
      </w:r>
      <w:r w:rsidRPr="007526EC">
        <w:rPr>
          <w:color w:val="000000" w:themeColor="text1"/>
          <w:lang w:val="en-US"/>
        </w:rPr>
        <w:t>and restrictive</w:t>
      </w:r>
      <w:r w:rsidR="008C65D6" w:rsidRPr="007526EC">
        <w:rPr>
          <w:color w:val="000000" w:themeColor="text1"/>
          <w:lang w:val="en-US"/>
        </w:rPr>
        <w:t xml:space="preserve"> transport</w:t>
      </w:r>
      <w:r w:rsidRPr="007526EC">
        <w:rPr>
          <w:color w:val="000000" w:themeColor="text1"/>
          <w:lang w:val="en-US"/>
        </w:rPr>
        <w:t xml:space="preserve"> properties of the </w:t>
      </w:r>
      <w:r w:rsidRPr="007526EC">
        <w:rPr>
          <w:i/>
          <w:color w:val="000000" w:themeColor="text1"/>
          <w:lang w:val="en-US"/>
        </w:rPr>
        <w:t>in vivo</w:t>
      </w:r>
      <w:r w:rsidRPr="007526EC">
        <w:rPr>
          <w:color w:val="000000" w:themeColor="text1"/>
          <w:lang w:val="en-US"/>
        </w:rPr>
        <w:t xml:space="preserve"> BBB. The </w:t>
      </w:r>
      <w:r w:rsidR="008C65D6" w:rsidRPr="007526EC">
        <w:rPr>
          <w:color w:val="000000" w:themeColor="text1"/>
          <w:lang w:val="en-US"/>
        </w:rPr>
        <w:t>progressive</w:t>
      </w:r>
      <w:r w:rsidRPr="007526EC">
        <w:rPr>
          <w:color w:val="000000" w:themeColor="text1"/>
          <w:lang w:val="en-US"/>
        </w:rPr>
        <w:t xml:space="preserve"> decrease in permeability </w:t>
      </w:r>
      <w:r w:rsidR="008C65D6" w:rsidRPr="007526EC">
        <w:rPr>
          <w:color w:val="000000" w:themeColor="text1"/>
          <w:lang w:val="en-US"/>
        </w:rPr>
        <w:t>correlates</w:t>
      </w:r>
      <w:r w:rsidRPr="007526EC">
        <w:rPr>
          <w:color w:val="000000" w:themeColor="text1"/>
          <w:lang w:val="en-US"/>
        </w:rPr>
        <w:t xml:space="preserve"> with the expected </w:t>
      </w:r>
      <w:r w:rsidR="00D21FB9" w:rsidRPr="007526EC">
        <w:rPr>
          <w:i/>
          <w:noProof/>
          <w:color w:val="000000" w:themeColor="text1"/>
          <w:lang w:val="en-US" w:eastAsia="en-US"/>
        </w:rPr>
        <w:drawing>
          <wp:anchor distT="0" distB="0" distL="114300" distR="114300" simplePos="0" relativeHeight="251673600" behindDoc="0" locked="0" layoutInCell="1" allowOverlap="1" wp14:anchorId="1BDC8E3F" wp14:editId="6C4FF2FB">
            <wp:simplePos x="0" y="0"/>
            <wp:positionH relativeFrom="column">
              <wp:posOffset>22860</wp:posOffset>
            </wp:positionH>
            <wp:positionV relativeFrom="paragraph">
              <wp:posOffset>1282825</wp:posOffset>
            </wp:positionV>
            <wp:extent cx="6062345" cy="6438900"/>
            <wp:effectExtent l="0" t="0" r="0" b="0"/>
            <wp:wrapTopAndBottom/>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62345" cy="6438900"/>
                    </a:xfrm>
                    <a:prstGeom prst="rect">
                      <a:avLst/>
                    </a:prstGeom>
                    <a:noFill/>
                  </pic:spPr>
                </pic:pic>
              </a:graphicData>
            </a:graphic>
            <wp14:sizeRelH relativeFrom="margin">
              <wp14:pctWidth>0</wp14:pctWidth>
            </wp14:sizeRelH>
            <wp14:sizeRelV relativeFrom="margin">
              <wp14:pctHeight>0</wp14:pctHeight>
            </wp14:sizeRelV>
          </wp:anchor>
        </w:drawing>
      </w:r>
      <w:r w:rsidRPr="007526EC">
        <w:rPr>
          <w:color w:val="000000" w:themeColor="text1"/>
          <w:lang w:val="en-US"/>
        </w:rPr>
        <w:t xml:space="preserve">physiological role of these cell types in regulating molecular transport and maintaining BBB integrity. </w:t>
      </w:r>
    </w:p>
    <w:p w14:paraId="00000029" w14:textId="46B82B0F" w:rsidR="00234C7D" w:rsidRPr="007526EC" w:rsidRDefault="00C71874" w:rsidP="00031EBC">
      <w:pPr>
        <w:pBdr>
          <w:top w:val="nil"/>
          <w:left w:val="nil"/>
          <w:bottom w:val="nil"/>
          <w:right w:val="nil"/>
          <w:between w:val="nil"/>
        </w:pBdr>
        <w:jc w:val="both"/>
        <w:rPr>
          <w:color w:val="000000" w:themeColor="text1"/>
          <w:sz w:val="20"/>
          <w:szCs w:val="20"/>
          <w:lang w:val="en-US"/>
        </w:rPr>
      </w:pPr>
      <w:r w:rsidRPr="007526EC">
        <w:rPr>
          <w:b/>
          <w:i/>
          <w:color w:val="000000" w:themeColor="text1"/>
          <w:sz w:val="20"/>
          <w:szCs w:val="20"/>
          <w:lang w:val="en-US"/>
        </w:rPr>
        <w:t>Figure 1.</w:t>
      </w:r>
      <w:r w:rsidRPr="007526EC">
        <w:rPr>
          <w:color w:val="000000" w:themeColor="text1"/>
          <w:sz w:val="20"/>
          <w:szCs w:val="20"/>
          <w:lang w:val="en-US"/>
        </w:rPr>
        <w:t xml:space="preserve"> </w:t>
      </w:r>
      <w:r w:rsidRPr="007526EC">
        <w:rPr>
          <w:b/>
          <w:color w:val="000000" w:themeColor="text1"/>
          <w:sz w:val="20"/>
          <w:szCs w:val="20"/>
          <w:lang w:val="en-US"/>
        </w:rPr>
        <w:t>Microfluidic BBB-on-chip design and validation. A.</w:t>
      </w:r>
      <w:r w:rsidRPr="007526EC">
        <w:rPr>
          <w:color w:val="000000" w:themeColor="text1"/>
          <w:sz w:val="20"/>
          <w:szCs w:val="20"/>
          <w:lang w:val="en-US"/>
        </w:rPr>
        <w:t xml:space="preserve"> Schematic representation of the BBB-on-chip, seeded with endothelial cells on the blood side and pericytes and astrocytes on the brain side, equipped with three microwells for 3D </w:t>
      </w:r>
      <w:r w:rsidR="00F81A94" w:rsidRPr="007526EC">
        <w:rPr>
          <w:color w:val="000000" w:themeColor="text1"/>
          <w:sz w:val="20"/>
          <w:szCs w:val="20"/>
          <w:lang w:val="en-US"/>
        </w:rPr>
        <w:t>GBM</w:t>
      </w:r>
      <w:r w:rsidRPr="007526EC">
        <w:rPr>
          <w:color w:val="000000" w:themeColor="text1"/>
          <w:sz w:val="20"/>
          <w:szCs w:val="20"/>
          <w:lang w:val="en-US"/>
        </w:rPr>
        <w:t xml:space="preserve"> spheroid culture (</w:t>
      </w:r>
      <w:r w:rsidR="00F81A94" w:rsidRPr="007526EC">
        <w:rPr>
          <w:color w:val="000000" w:themeColor="text1"/>
          <w:sz w:val="20"/>
          <w:szCs w:val="20"/>
          <w:lang w:val="en-US"/>
        </w:rPr>
        <w:t>GBM</w:t>
      </w:r>
      <w:r w:rsidRPr="007526EC">
        <w:rPr>
          <w:color w:val="000000" w:themeColor="text1"/>
          <w:sz w:val="20"/>
          <w:szCs w:val="20"/>
          <w:lang w:val="en-US"/>
        </w:rPr>
        <w:t xml:space="preserve"> spheroids area). </w:t>
      </w:r>
      <w:r w:rsidRPr="007526EC">
        <w:rPr>
          <w:b/>
          <w:color w:val="000000" w:themeColor="text1"/>
          <w:sz w:val="20"/>
          <w:szCs w:val="20"/>
          <w:lang w:val="en-US"/>
        </w:rPr>
        <w:t>B.</w:t>
      </w:r>
      <w:r w:rsidRPr="007526EC">
        <w:rPr>
          <w:color w:val="000000" w:themeColor="text1"/>
          <w:sz w:val="20"/>
          <w:szCs w:val="20"/>
          <w:lang w:val="en-US"/>
        </w:rPr>
        <w:t xml:space="preserve"> </w:t>
      </w:r>
      <w:r w:rsidR="00F81A94" w:rsidRPr="007526EC">
        <w:rPr>
          <w:color w:val="000000" w:themeColor="text1"/>
          <w:sz w:val="20"/>
          <w:szCs w:val="20"/>
          <w:lang w:val="en-US"/>
        </w:rPr>
        <w:t>Image</w:t>
      </w:r>
      <w:r w:rsidRPr="007526EC">
        <w:rPr>
          <w:color w:val="000000" w:themeColor="text1"/>
          <w:sz w:val="20"/>
          <w:szCs w:val="20"/>
          <w:lang w:val="en-US"/>
        </w:rPr>
        <w:t xml:space="preserve"> of the assembled BBB-on-chip showing the upper channel (yellow) mimicking the vascular compartment and main perfusion conduit, and the lower channels (red) leading to the tumor compartment (scale bar = 2 cm). </w:t>
      </w:r>
      <w:r w:rsidRPr="007526EC">
        <w:rPr>
          <w:b/>
          <w:color w:val="000000" w:themeColor="text1"/>
          <w:sz w:val="20"/>
          <w:szCs w:val="20"/>
          <w:lang w:val="en-US"/>
        </w:rPr>
        <w:t>C.</w:t>
      </w:r>
      <w:r w:rsidRPr="007526EC">
        <w:rPr>
          <w:color w:val="000000" w:themeColor="text1"/>
          <w:sz w:val="20"/>
          <w:szCs w:val="20"/>
          <w:lang w:val="en-US"/>
        </w:rPr>
        <w:t xml:space="preserve"> </w:t>
      </w:r>
      <w:proofErr w:type="spellStart"/>
      <w:r w:rsidRPr="007526EC">
        <w:rPr>
          <w:color w:val="000000" w:themeColor="text1"/>
          <w:sz w:val="20"/>
          <w:szCs w:val="20"/>
          <w:lang w:val="en-US"/>
        </w:rPr>
        <w:t>Transendothelial</w:t>
      </w:r>
      <w:proofErr w:type="spellEnd"/>
      <w:r w:rsidRPr="007526EC">
        <w:rPr>
          <w:color w:val="000000" w:themeColor="text1"/>
          <w:sz w:val="20"/>
          <w:szCs w:val="20"/>
          <w:lang w:val="en-US"/>
        </w:rPr>
        <w:t xml:space="preserve"> electrical resistance (TEER) measurements recorded daily across </w:t>
      </w:r>
      <w:r w:rsidR="00A83E6C" w:rsidRPr="007526EC">
        <w:rPr>
          <w:color w:val="000000" w:themeColor="text1"/>
          <w:sz w:val="20"/>
          <w:szCs w:val="20"/>
          <w:lang w:val="en-US"/>
        </w:rPr>
        <w:t>the</w:t>
      </w:r>
      <w:r w:rsidRPr="007526EC">
        <w:rPr>
          <w:color w:val="000000" w:themeColor="text1"/>
          <w:sz w:val="20"/>
          <w:szCs w:val="20"/>
          <w:lang w:val="en-US"/>
        </w:rPr>
        <w:t xml:space="preserve"> membrane between the upper and lower channels and supporting the BBB. </w:t>
      </w:r>
      <w:r w:rsidRPr="007526EC">
        <w:rPr>
          <w:b/>
          <w:color w:val="000000" w:themeColor="text1"/>
          <w:sz w:val="20"/>
          <w:szCs w:val="20"/>
          <w:lang w:val="en-US"/>
        </w:rPr>
        <w:t>D.</w:t>
      </w:r>
      <w:r w:rsidRPr="007526EC">
        <w:rPr>
          <w:color w:val="000000" w:themeColor="text1"/>
          <w:sz w:val="20"/>
          <w:szCs w:val="20"/>
          <w:lang w:val="en-US"/>
        </w:rPr>
        <w:t xml:space="preserve"> Permeability coefficients calculated from the diffusion of 40, 70, and 150 </w:t>
      </w:r>
      <w:proofErr w:type="spellStart"/>
      <w:r w:rsidRPr="007526EC">
        <w:rPr>
          <w:color w:val="000000" w:themeColor="text1"/>
          <w:sz w:val="20"/>
          <w:szCs w:val="20"/>
          <w:lang w:val="en-US"/>
        </w:rPr>
        <w:t>kDa</w:t>
      </w:r>
      <w:proofErr w:type="spellEnd"/>
      <w:r w:rsidRPr="007526EC">
        <w:rPr>
          <w:color w:val="000000" w:themeColor="text1"/>
          <w:sz w:val="20"/>
          <w:szCs w:val="20"/>
          <w:lang w:val="en-US"/>
        </w:rPr>
        <w:t xml:space="preserve"> FITC-</w:t>
      </w:r>
      <w:proofErr w:type="spellStart"/>
      <w:r w:rsidRPr="007526EC">
        <w:rPr>
          <w:color w:val="000000" w:themeColor="text1"/>
          <w:sz w:val="20"/>
          <w:szCs w:val="20"/>
          <w:lang w:val="en-US"/>
        </w:rPr>
        <w:t>dextrans</w:t>
      </w:r>
      <w:proofErr w:type="spellEnd"/>
      <w:r w:rsidRPr="007526EC">
        <w:rPr>
          <w:color w:val="000000" w:themeColor="text1"/>
          <w:sz w:val="20"/>
          <w:szCs w:val="20"/>
          <w:lang w:val="en-US"/>
        </w:rPr>
        <w:t xml:space="preserve"> through the assembled BBB-on-chip in the following conditions: </w:t>
      </w:r>
      <w:proofErr w:type="spellStart"/>
      <w:r w:rsidRPr="007526EC">
        <w:rPr>
          <w:color w:val="000000" w:themeColor="text1"/>
          <w:sz w:val="20"/>
          <w:szCs w:val="20"/>
          <w:lang w:val="en-US"/>
        </w:rPr>
        <w:t>i</w:t>
      </w:r>
      <w:proofErr w:type="spellEnd"/>
      <w:r w:rsidRPr="007526EC">
        <w:rPr>
          <w:color w:val="000000" w:themeColor="text1"/>
          <w:sz w:val="20"/>
          <w:szCs w:val="20"/>
          <w:lang w:val="en-US"/>
        </w:rPr>
        <w:t xml:space="preserve">. </w:t>
      </w:r>
      <w:r w:rsidR="00A83E6C" w:rsidRPr="007526EC">
        <w:rPr>
          <w:color w:val="000000" w:themeColor="text1"/>
          <w:sz w:val="20"/>
          <w:szCs w:val="20"/>
          <w:lang w:val="en-US"/>
        </w:rPr>
        <w:t xml:space="preserve">No cells </w:t>
      </w:r>
      <w:r w:rsidRPr="007526EC">
        <w:rPr>
          <w:color w:val="000000" w:themeColor="text1"/>
          <w:sz w:val="20"/>
          <w:szCs w:val="20"/>
          <w:lang w:val="en-US"/>
        </w:rPr>
        <w:t>(</w:t>
      </w:r>
      <w:r w:rsidR="00A83E6C" w:rsidRPr="007526EC">
        <w:rPr>
          <w:color w:val="000000" w:themeColor="text1"/>
          <w:sz w:val="20"/>
          <w:szCs w:val="20"/>
          <w:lang w:val="en-US"/>
        </w:rPr>
        <w:t xml:space="preserve">control, </w:t>
      </w:r>
      <w:r w:rsidRPr="007526EC">
        <w:rPr>
          <w:color w:val="000000" w:themeColor="text1"/>
          <w:sz w:val="20"/>
          <w:szCs w:val="20"/>
          <w:lang w:val="en-US"/>
        </w:rPr>
        <w:t xml:space="preserve">membrane without cells), ii. Blood side (membrane + HUVECs endothelial monolayer), </w:t>
      </w:r>
      <w:r w:rsidRPr="007526EC">
        <w:rPr>
          <w:color w:val="000000" w:themeColor="text1"/>
          <w:sz w:val="20"/>
          <w:szCs w:val="20"/>
          <w:lang w:val="en-US"/>
        </w:rPr>
        <w:lastRenderedPageBreak/>
        <w:t xml:space="preserve">and iii. BBB </w:t>
      </w:r>
      <w:r w:rsidR="00A83E6C" w:rsidRPr="007526EC">
        <w:rPr>
          <w:color w:val="000000" w:themeColor="text1"/>
          <w:sz w:val="20"/>
          <w:szCs w:val="20"/>
          <w:lang w:val="en-US"/>
        </w:rPr>
        <w:t xml:space="preserve">complete </w:t>
      </w:r>
      <w:r w:rsidRPr="007526EC">
        <w:rPr>
          <w:color w:val="000000" w:themeColor="text1"/>
          <w:sz w:val="20"/>
          <w:szCs w:val="20"/>
          <w:lang w:val="en-US"/>
        </w:rPr>
        <w:t xml:space="preserve">(membrane with the three-culture of HUVECs on the blood side and pericytes and astrocytes on the brain side). </w:t>
      </w:r>
      <w:r w:rsidRPr="007526EC">
        <w:rPr>
          <w:b/>
          <w:color w:val="000000" w:themeColor="text1"/>
          <w:sz w:val="20"/>
          <w:szCs w:val="20"/>
          <w:lang w:val="en-US"/>
        </w:rPr>
        <w:t>E</w:t>
      </w:r>
      <w:r w:rsidRPr="007526EC">
        <w:rPr>
          <w:color w:val="000000" w:themeColor="text1"/>
          <w:sz w:val="20"/>
          <w:szCs w:val="20"/>
          <w:lang w:val="en-US"/>
        </w:rPr>
        <w:t>.</w:t>
      </w:r>
      <w:r w:rsidR="00436250" w:rsidRPr="007526EC">
        <w:rPr>
          <w:color w:val="000000" w:themeColor="text1"/>
          <w:sz w:val="20"/>
          <w:szCs w:val="20"/>
          <w:lang w:val="en-US"/>
        </w:rPr>
        <w:t xml:space="preserve"> </w:t>
      </w:r>
      <w:r w:rsidR="00D81A0F" w:rsidRPr="007526EC">
        <w:rPr>
          <w:color w:val="000000" w:themeColor="text1"/>
          <w:sz w:val="20"/>
          <w:szCs w:val="20"/>
          <w:lang w:val="en-US"/>
        </w:rPr>
        <w:t>IF</w:t>
      </w:r>
      <w:r w:rsidR="0043453E" w:rsidRPr="007526EC">
        <w:rPr>
          <w:color w:val="000000" w:themeColor="text1"/>
          <w:sz w:val="20"/>
          <w:szCs w:val="20"/>
          <w:lang w:val="en-US"/>
        </w:rPr>
        <w:t xml:space="preserve"> staining of the BBB-on-chip model </w:t>
      </w:r>
      <w:r w:rsidR="005807B7" w:rsidRPr="007526EC">
        <w:rPr>
          <w:color w:val="000000" w:themeColor="text1"/>
          <w:sz w:val="20"/>
          <w:szCs w:val="20"/>
          <w:lang w:val="en-US"/>
        </w:rPr>
        <w:t xml:space="preserve">on </w:t>
      </w:r>
      <w:r w:rsidR="0043453E" w:rsidRPr="007526EC">
        <w:rPr>
          <w:color w:val="000000" w:themeColor="text1"/>
          <w:sz w:val="20"/>
          <w:szCs w:val="20"/>
          <w:lang w:val="en-US"/>
        </w:rPr>
        <w:t xml:space="preserve">day 7. On the </w:t>
      </w:r>
      <w:r w:rsidR="0043453E" w:rsidRPr="007526EC">
        <w:rPr>
          <w:rStyle w:val="Strong"/>
          <w:b w:val="0"/>
          <w:color w:val="000000" w:themeColor="text1"/>
          <w:sz w:val="20"/>
          <w:szCs w:val="20"/>
          <w:lang w:val="en-US"/>
        </w:rPr>
        <w:t>blood</w:t>
      </w:r>
      <w:r w:rsidR="008A3E25" w:rsidRPr="007526EC">
        <w:rPr>
          <w:rStyle w:val="Strong"/>
          <w:b w:val="0"/>
          <w:color w:val="000000" w:themeColor="text1"/>
          <w:sz w:val="20"/>
          <w:szCs w:val="20"/>
          <w:lang w:val="en-US"/>
        </w:rPr>
        <w:t xml:space="preserve"> </w:t>
      </w:r>
      <w:r w:rsidR="0043453E" w:rsidRPr="007526EC">
        <w:rPr>
          <w:rStyle w:val="Strong"/>
          <w:b w:val="0"/>
          <w:color w:val="000000" w:themeColor="text1"/>
          <w:sz w:val="20"/>
          <w:szCs w:val="20"/>
          <w:lang w:val="en-US"/>
        </w:rPr>
        <w:t>side compartment</w:t>
      </w:r>
      <w:r w:rsidR="0043453E" w:rsidRPr="007526EC">
        <w:rPr>
          <w:color w:val="000000" w:themeColor="text1"/>
          <w:sz w:val="20"/>
          <w:szCs w:val="20"/>
          <w:lang w:val="en-US"/>
        </w:rPr>
        <w:t xml:space="preserve">, endothelial tight junction protein ZO-1 (green) and the endothelial marker CD31 (green) are expressed, confirming the formation of a continuous endothelial layer. On the </w:t>
      </w:r>
      <w:r w:rsidR="008A3E25" w:rsidRPr="007526EC">
        <w:rPr>
          <w:rStyle w:val="Strong"/>
          <w:b w:val="0"/>
          <w:color w:val="000000" w:themeColor="text1"/>
          <w:sz w:val="20"/>
          <w:szCs w:val="20"/>
          <w:lang w:val="en-US"/>
        </w:rPr>
        <w:t>b</w:t>
      </w:r>
      <w:r w:rsidR="0043453E" w:rsidRPr="007526EC">
        <w:rPr>
          <w:rStyle w:val="Strong"/>
          <w:b w:val="0"/>
          <w:color w:val="000000" w:themeColor="text1"/>
          <w:sz w:val="20"/>
          <w:szCs w:val="20"/>
          <w:lang w:val="en-US"/>
        </w:rPr>
        <w:t>rain</w:t>
      </w:r>
      <w:r w:rsidR="008A3E25" w:rsidRPr="007526EC">
        <w:rPr>
          <w:rStyle w:val="Strong"/>
          <w:b w:val="0"/>
          <w:color w:val="000000" w:themeColor="text1"/>
          <w:sz w:val="20"/>
          <w:szCs w:val="20"/>
          <w:lang w:val="en-US"/>
        </w:rPr>
        <w:t xml:space="preserve"> </w:t>
      </w:r>
      <w:r w:rsidR="0043453E" w:rsidRPr="007526EC">
        <w:rPr>
          <w:rStyle w:val="Strong"/>
          <w:b w:val="0"/>
          <w:color w:val="000000" w:themeColor="text1"/>
          <w:sz w:val="20"/>
          <w:szCs w:val="20"/>
          <w:lang w:val="en-US"/>
        </w:rPr>
        <w:t>side</w:t>
      </w:r>
      <w:r w:rsidR="0043453E" w:rsidRPr="007526EC">
        <w:rPr>
          <w:color w:val="000000" w:themeColor="text1"/>
          <w:sz w:val="20"/>
          <w:szCs w:val="20"/>
          <w:lang w:val="en-US"/>
        </w:rPr>
        <w:t>, astrocytes are identified by GFAP expression (magenta), indicating appropriate localization. DAPI (blue) highlights cell nuclei in both compartments. Scale bar = 50 µm</w:t>
      </w:r>
      <w:r w:rsidR="00436250" w:rsidRPr="007526EC">
        <w:rPr>
          <w:color w:val="000000" w:themeColor="text1"/>
          <w:sz w:val="20"/>
          <w:szCs w:val="20"/>
          <w:lang w:val="en-US"/>
        </w:rPr>
        <w:t xml:space="preserve">. </w:t>
      </w:r>
      <w:r w:rsidRPr="007526EC">
        <w:rPr>
          <w:color w:val="000000" w:themeColor="text1"/>
          <w:sz w:val="20"/>
          <w:szCs w:val="20"/>
          <w:lang w:val="en-US"/>
        </w:rPr>
        <w:t xml:space="preserve">Values are expressed as </w:t>
      </w:r>
      <w:proofErr w:type="spellStart"/>
      <w:r w:rsidRPr="007526EC">
        <w:rPr>
          <w:color w:val="000000" w:themeColor="text1"/>
          <w:sz w:val="20"/>
          <w:szCs w:val="20"/>
          <w:lang w:val="en-US"/>
        </w:rPr>
        <w:t>median±SEM</w:t>
      </w:r>
      <w:proofErr w:type="spellEnd"/>
      <w:r w:rsidRPr="007526EC">
        <w:rPr>
          <w:color w:val="000000" w:themeColor="text1"/>
          <w:sz w:val="20"/>
          <w:szCs w:val="20"/>
          <w:lang w:val="en-US"/>
        </w:rPr>
        <w:t xml:space="preserve"> from at least 3 independent experiments. *p &lt;0.05, **p &lt;0.01 and ***p &lt;0.001 vs control. </w:t>
      </w:r>
    </w:p>
    <w:p w14:paraId="362AF0A1" w14:textId="77777777" w:rsidR="008A3E25" w:rsidRPr="007526EC" w:rsidRDefault="008A3E25" w:rsidP="00031EBC">
      <w:pPr>
        <w:pBdr>
          <w:top w:val="nil"/>
          <w:left w:val="nil"/>
          <w:bottom w:val="nil"/>
          <w:right w:val="nil"/>
          <w:between w:val="nil"/>
        </w:pBdr>
        <w:jc w:val="both"/>
        <w:rPr>
          <w:color w:val="000000" w:themeColor="text1"/>
          <w:lang w:val="en-US"/>
        </w:rPr>
      </w:pPr>
    </w:p>
    <w:p w14:paraId="0000002A" w14:textId="77777777" w:rsidR="00234C7D" w:rsidRPr="007526EC" w:rsidRDefault="00C71874">
      <w:pPr>
        <w:numPr>
          <w:ilvl w:val="1"/>
          <w:numId w:val="1"/>
        </w:numPr>
        <w:pBdr>
          <w:top w:val="nil"/>
          <w:left w:val="nil"/>
          <w:bottom w:val="nil"/>
          <w:right w:val="nil"/>
          <w:between w:val="nil"/>
        </w:pBdr>
        <w:spacing w:before="120" w:after="80"/>
        <w:jc w:val="both"/>
        <w:rPr>
          <w:b/>
          <w:color w:val="000000" w:themeColor="text1"/>
          <w:lang w:val="en-US"/>
        </w:rPr>
      </w:pPr>
      <w:r w:rsidRPr="007526EC">
        <w:rPr>
          <w:b/>
          <w:color w:val="000000" w:themeColor="text1"/>
          <w:lang w:val="en-US"/>
        </w:rPr>
        <w:t xml:space="preserve">THP-1 cells transmit oHSV-1-mCherry to U87-derived spheroids, with infection leading to decreased viability in cancer cells </w:t>
      </w:r>
    </w:p>
    <w:p w14:paraId="0000002B" w14:textId="63631AC6"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The growth and morphological characteristics of spheroids derived from human GBM U87 cells (U</w:t>
      </w:r>
      <w:r w:rsidR="005807B7" w:rsidRPr="007526EC">
        <w:rPr>
          <w:color w:val="000000" w:themeColor="text1"/>
          <w:lang w:val="en-US"/>
        </w:rPr>
        <w:t>87</w:t>
      </w:r>
      <w:r w:rsidRPr="007526EC">
        <w:rPr>
          <w:color w:val="000000" w:themeColor="text1"/>
          <w:lang w:val="en-US"/>
        </w:rPr>
        <w:t xml:space="preserve">-MG, ATCC) are monitored over the course of 7 days. Brightfield images are captured with optimal contrast and analyzed using </w:t>
      </w:r>
      <w:proofErr w:type="spellStart"/>
      <w:r w:rsidRPr="007526EC">
        <w:rPr>
          <w:color w:val="000000" w:themeColor="text1"/>
          <w:lang w:val="en-US"/>
        </w:rPr>
        <w:t>AnaSP</w:t>
      </w:r>
      <w:proofErr w:type="spellEnd"/>
      <w:r w:rsidRPr="007526EC">
        <w:rPr>
          <w:color w:val="000000" w:themeColor="text1"/>
          <w:lang w:val="en-US"/>
        </w:rPr>
        <w:t xml:space="preserve"> software to quantify parameters such as equivalent diameter, solidity, compactness and sphericity index (SI). The equivalent diameter of the spheroids increases from approximately 200 </w:t>
      </w:r>
      <w:proofErr w:type="spellStart"/>
      <w:r w:rsidRPr="007526EC">
        <w:rPr>
          <w:color w:val="000000" w:themeColor="text1"/>
          <w:lang w:val="en-US"/>
        </w:rPr>
        <w:t>μm</w:t>
      </w:r>
      <w:proofErr w:type="spellEnd"/>
      <w:r w:rsidRPr="007526EC">
        <w:rPr>
          <w:color w:val="000000" w:themeColor="text1"/>
          <w:lang w:val="en-US"/>
        </w:rPr>
        <w:t xml:space="preserve"> on day 2 to 700 </w:t>
      </w:r>
      <w:proofErr w:type="spellStart"/>
      <w:r w:rsidRPr="007526EC">
        <w:rPr>
          <w:color w:val="000000" w:themeColor="text1"/>
          <w:lang w:val="en-US"/>
        </w:rPr>
        <w:t>μm</w:t>
      </w:r>
      <w:proofErr w:type="spellEnd"/>
      <w:r w:rsidRPr="007526EC">
        <w:rPr>
          <w:color w:val="000000" w:themeColor="text1"/>
          <w:lang w:val="en-US"/>
        </w:rPr>
        <w:t xml:space="preserve"> on day 7, with some growing up to 800 </w:t>
      </w:r>
      <w:proofErr w:type="spellStart"/>
      <w:r w:rsidRPr="007526EC">
        <w:rPr>
          <w:color w:val="000000" w:themeColor="text1"/>
          <w:lang w:val="en-US"/>
        </w:rPr>
        <w:t>μm</w:t>
      </w:r>
      <w:proofErr w:type="spellEnd"/>
      <w:r w:rsidRPr="007526EC">
        <w:rPr>
          <w:color w:val="000000" w:themeColor="text1"/>
          <w:lang w:val="en-US"/>
        </w:rPr>
        <w:t xml:space="preserve"> (</w:t>
      </w:r>
      <w:r w:rsidRPr="007526EC">
        <w:rPr>
          <w:b/>
          <w:color w:val="000000" w:themeColor="text1"/>
          <w:lang w:val="en-US"/>
        </w:rPr>
        <w:t>Figure 2.A</w:t>
      </w:r>
      <w:r w:rsidRPr="007526EC">
        <w:rPr>
          <w:color w:val="000000" w:themeColor="text1"/>
          <w:lang w:val="en-US"/>
        </w:rPr>
        <w:t>). Solidity also increases over time, correlating with shape regularity, while compactness decreases due to growth-related effects. The maintenance of a spherical shape is confirmed by a stable SI</w:t>
      </w:r>
      <w:r w:rsidR="004624B1" w:rsidRPr="007526EC">
        <w:rPr>
          <w:color w:val="000000" w:themeColor="text1"/>
          <w:lang w:val="en-US"/>
        </w:rPr>
        <w:t xml:space="preserve"> </w:t>
      </w:r>
      <w:r w:rsidR="00C66AD3" w:rsidRPr="007526EC">
        <w:rPr>
          <w:color w:val="000000" w:themeColor="text1"/>
          <w:lang w:val="en-US"/>
        </w:rPr>
        <w:t>~</w:t>
      </w:r>
      <w:r w:rsidRPr="007526EC">
        <w:rPr>
          <w:color w:val="000000" w:themeColor="text1"/>
          <w:lang w:val="en-US"/>
        </w:rPr>
        <w:t xml:space="preserve">1 throughout the observation period. </w:t>
      </w:r>
      <w:r w:rsidRPr="007526EC">
        <w:rPr>
          <w:b/>
          <w:color w:val="000000" w:themeColor="text1"/>
          <w:lang w:val="en-US"/>
        </w:rPr>
        <w:t>Figure 2.B</w:t>
      </w:r>
      <w:r w:rsidRPr="007526EC">
        <w:rPr>
          <w:color w:val="000000" w:themeColor="text1"/>
          <w:lang w:val="en-US"/>
        </w:rPr>
        <w:t xml:space="preserve"> reports representative images for Phalloidin/DAPI staining and Live/Dead assay at day 7. To capture the 3D structure of the spheroid, sequential images focus on the outer (shell) and inner (core) sections. Phalloidin/DAPI staining shows well-structured actin filaments and organized nuclei, reflecting proper cellular architecture and spatial arrangement within the spheroids. The Live/Dead assay demonstrates consistent high cell viability. </w:t>
      </w:r>
    </w:p>
    <w:p w14:paraId="2CDA3D81" w14:textId="74F1637D" w:rsidR="00DA616E"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To explore the potential use of monocytes as carrier cells for the systemic delivery of an HSV-1 based OV, we assess the ability of human monocytic THP-1 cells to transmit a </w:t>
      </w:r>
      <w:proofErr w:type="spellStart"/>
      <w:r w:rsidRPr="007526EC">
        <w:rPr>
          <w:color w:val="000000" w:themeColor="text1"/>
          <w:lang w:val="en-US"/>
        </w:rPr>
        <w:t>neuroattenuated</w:t>
      </w:r>
      <w:proofErr w:type="spellEnd"/>
      <w:r w:rsidRPr="007526EC">
        <w:rPr>
          <w:color w:val="000000" w:themeColor="text1"/>
          <w:lang w:val="en-US"/>
        </w:rPr>
        <w:t xml:space="preserve"> oHSV-1 expressing a red fluorescent reporter (oHSV-1-mCherry) to GBM spheroids in standard </w:t>
      </w:r>
      <w:proofErr w:type="spellStart"/>
      <w:r w:rsidRPr="007526EC">
        <w:rPr>
          <w:color w:val="000000" w:themeColor="text1"/>
          <w:lang w:val="en-US"/>
        </w:rPr>
        <w:t>multiwell</w:t>
      </w:r>
      <w:proofErr w:type="spellEnd"/>
      <w:r w:rsidRPr="007526EC">
        <w:rPr>
          <w:color w:val="000000" w:themeColor="text1"/>
          <w:lang w:val="en-US"/>
        </w:rPr>
        <w:t xml:space="preserve"> culture settings. U87-derived spheroids are co-cultured with </w:t>
      </w:r>
      <w:proofErr w:type="spellStart"/>
      <w:r w:rsidRPr="007526EC">
        <w:rPr>
          <w:i/>
          <w:color w:val="000000" w:themeColor="text1"/>
          <w:lang w:val="en-US"/>
        </w:rPr>
        <w:t>i</w:t>
      </w:r>
      <w:proofErr w:type="spellEnd"/>
      <w:r w:rsidRPr="007526EC">
        <w:rPr>
          <w:i/>
          <w:color w:val="000000" w:themeColor="text1"/>
          <w:lang w:val="en-US"/>
        </w:rPr>
        <w:t>.</w:t>
      </w:r>
      <w:r w:rsidRPr="007526EC">
        <w:rPr>
          <w:color w:val="000000" w:themeColor="text1"/>
          <w:lang w:val="en-US"/>
        </w:rPr>
        <w:t xml:space="preserve"> uninfected THP-1 cells labeled with </w:t>
      </w:r>
      <w:proofErr w:type="spellStart"/>
      <w:r w:rsidRPr="007526EC">
        <w:rPr>
          <w:color w:val="000000" w:themeColor="text1"/>
          <w:lang w:val="en-US"/>
        </w:rPr>
        <w:t>CellTracker</w:t>
      </w:r>
      <w:proofErr w:type="spellEnd"/>
      <w:r w:rsidRPr="007526EC">
        <w:rPr>
          <w:color w:val="000000" w:themeColor="text1"/>
          <w:lang w:val="en-US"/>
        </w:rPr>
        <w:t>™ Green (</w:t>
      </w:r>
      <w:proofErr w:type="spellStart"/>
      <w:r w:rsidRPr="007526EC">
        <w:rPr>
          <w:color w:val="000000" w:themeColor="text1"/>
          <w:lang w:val="en-US"/>
        </w:rPr>
        <w:t>Invitrogen</w:t>
      </w:r>
      <w:r w:rsidRPr="007526EC">
        <w:rPr>
          <w:color w:val="000000" w:themeColor="text1"/>
          <w:vertAlign w:val="superscript"/>
          <w:lang w:val="en-US"/>
        </w:rPr>
        <w:t>TM</w:t>
      </w:r>
      <w:proofErr w:type="spellEnd"/>
      <w:r w:rsidRPr="007526EC">
        <w:rPr>
          <w:color w:val="000000" w:themeColor="text1"/>
          <w:lang w:val="en-US"/>
        </w:rPr>
        <w:t xml:space="preserve">, </w:t>
      </w:r>
      <w:proofErr w:type="spellStart"/>
      <w:r w:rsidRPr="007526EC">
        <w:rPr>
          <w:color w:val="000000" w:themeColor="text1"/>
          <w:lang w:val="en-US"/>
        </w:rPr>
        <w:t>Thermo</w:t>
      </w:r>
      <w:proofErr w:type="spellEnd"/>
      <w:r w:rsidRPr="007526EC">
        <w:rPr>
          <w:color w:val="000000" w:themeColor="text1"/>
          <w:lang w:val="en-US"/>
        </w:rPr>
        <w:t xml:space="preserve"> Fisher Scientific), </w:t>
      </w:r>
      <w:r w:rsidRPr="007526EC">
        <w:rPr>
          <w:i/>
          <w:color w:val="000000" w:themeColor="text1"/>
          <w:lang w:val="en-US"/>
        </w:rPr>
        <w:t>ii.</w:t>
      </w:r>
      <w:r w:rsidRPr="007526EC">
        <w:rPr>
          <w:color w:val="000000" w:themeColor="text1"/>
          <w:lang w:val="en-US"/>
        </w:rPr>
        <w:t xml:space="preserve"> labeled THP-1 infected with oHSV-1-mCherry at the multiplicity of infection (MOI) of 3 plaque forming units (PFU)/cell, and </w:t>
      </w:r>
      <w:r w:rsidRPr="007526EC">
        <w:rPr>
          <w:i/>
          <w:color w:val="000000" w:themeColor="text1"/>
          <w:lang w:val="en-US"/>
        </w:rPr>
        <w:t>iii.</w:t>
      </w:r>
      <w:r w:rsidRPr="007526EC">
        <w:rPr>
          <w:color w:val="000000" w:themeColor="text1"/>
          <w:lang w:val="en-US"/>
        </w:rPr>
        <w:t xml:space="preserve"> free oHSV-1-mCherry. Monitoring the spheroids over several days using confocal microscopy enables evaluation of the spreading of the viral infection via </w:t>
      </w:r>
      <w:proofErr w:type="spellStart"/>
      <w:r w:rsidRPr="007526EC">
        <w:rPr>
          <w:color w:val="000000" w:themeColor="text1"/>
          <w:lang w:val="en-US"/>
        </w:rPr>
        <w:t>mCherry</w:t>
      </w:r>
      <w:proofErr w:type="spellEnd"/>
      <w:r w:rsidRPr="007526EC">
        <w:rPr>
          <w:color w:val="000000" w:themeColor="text1"/>
          <w:lang w:val="en-US"/>
        </w:rPr>
        <w:t xml:space="preserve"> fluorescence visualization. Images in </w:t>
      </w:r>
      <w:r w:rsidRPr="007526EC">
        <w:rPr>
          <w:b/>
          <w:color w:val="000000" w:themeColor="text1"/>
          <w:lang w:val="en-US"/>
        </w:rPr>
        <w:t>Figure 2.C</w:t>
      </w:r>
      <w:r w:rsidRPr="007526EC">
        <w:rPr>
          <w:color w:val="000000" w:themeColor="text1"/>
          <w:lang w:val="en-US"/>
        </w:rPr>
        <w:t xml:space="preserve"> are representative of GBM spheroids </w:t>
      </w:r>
      <w:r w:rsidR="005807B7" w:rsidRPr="007526EC">
        <w:rPr>
          <w:color w:val="000000" w:themeColor="text1"/>
          <w:lang w:val="en-US"/>
        </w:rPr>
        <w:t xml:space="preserve">on </w:t>
      </w:r>
      <w:r w:rsidRPr="007526EC">
        <w:rPr>
          <w:color w:val="000000" w:themeColor="text1"/>
          <w:lang w:val="en-US"/>
        </w:rPr>
        <w:t xml:space="preserve">day 7 post treatment with THP-1 monocytes labeled in green and infected with oHSV-1-mCherry. The fluorescence images illustrate the widespread distribution of oHSV-1-mCherry infected cells (red) and of the carrier THP-1 cells (green) within the GBM spheroids. The same tumor spheroids are </w:t>
      </w:r>
      <w:r w:rsidR="004624B1" w:rsidRPr="007526EC">
        <w:rPr>
          <w:color w:val="000000" w:themeColor="text1"/>
          <w:lang w:val="en-US"/>
        </w:rPr>
        <w:t>tested with</w:t>
      </w:r>
      <w:r w:rsidRPr="007526EC">
        <w:rPr>
          <w:color w:val="000000" w:themeColor="text1"/>
          <w:lang w:val="en-US"/>
        </w:rPr>
        <w:t xml:space="preserve"> a viability MTT assay. On day 7 post-infection (</w:t>
      </w:r>
      <w:r w:rsidRPr="007526EC">
        <w:rPr>
          <w:b/>
          <w:color w:val="000000" w:themeColor="text1"/>
          <w:lang w:val="en-US"/>
        </w:rPr>
        <w:t>Figure 2.D</w:t>
      </w:r>
      <w:r w:rsidRPr="007526EC">
        <w:rPr>
          <w:color w:val="000000" w:themeColor="text1"/>
          <w:lang w:val="en-US"/>
        </w:rPr>
        <w:t xml:space="preserve">), the viability of spheroids is significantly reduced both after infection with the free virus and after incubation with oHSV-1-mCherry infected THP-1 cells, indicating an active replication of the virus in cancer cells, independently from the </w:t>
      </w:r>
      <w:r w:rsidR="002B5185" w:rsidRPr="007526EC">
        <w:rPr>
          <w:color w:val="000000" w:themeColor="text1"/>
          <w:lang w:val="en-US"/>
        </w:rPr>
        <w:t>route</w:t>
      </w:r>
      <w:r w:rsidRPr="007526EC">
        <w:rPr>
          <w:color w:val="000000" w:themeColor="text1"/>
          <w:lang w:val="en-US"/>
        </w:rPr>
        <w:t xml:space="preserve"> of administration. </w:t>
      </w:r>
      <w:r w:rsidR="00606DFD" w:rsidRPr="007526EC">
        <w:rPr>
          <w:color w:val="000000" w:themeColor="text1"/>
          <w:lang w:val="en-US"/>
        </w:rPr>
        <w:t xml:space="preserve">Of note, the viability of the sample containing GBM cells co-cultured with naïve THP-1 cells (labeled “THP-1” in the graph) appears higher than the control, as the latter does not include THP-1 cells. Given their malignant origin, THP-1 cells are proliferative and metabolically active, thus contributing to the overall increase in measured viability. </w:t>
      </w:r>
      <w:r w:rsidRPr="007526EC">
        <w:rPr>
          <w:color w:val="000000" w:themeColor="text1"/>
          <w:lang w:val="en-US"/>
        </w:rPr>
        <w:t>Overall, these findings support the feasibility of using monocytes as carrier cells for the delivery of oHSV-1 to GBM cells</w:t>
      </w:r>
      <w:r w:rsidR="00606DFD" w:rsidRPr="007526EC">
        <w:rPr>
          <w:color w:val="000000" w:themeColor="text1"/>
          <w:lang w:val="en-US"/>
        </w:rPr>
        <w:t>.</w:t>
      </w:r>
    </w:p>
    <w:p w14:paraId="3519AFC0" w14:textId="77777777" w:rsidR="00DA616E" w:rsidRPr="007526EC" w:rsidRDefault="00DA616E">
      <w:pPr>
        <w:pBdr>
          <w:top w:val="nil"/>
          <w:left w:val="nil"/>
          <w:bottom w:val="nil"/>
          <w:right w:val="nil"/>
          <w:between w:val="nil"/>
        </w:pBdr>
        <w:spacing w:line="276" w:lineRule="auto"/>
        <w:jc w:val="both"/>
        <w:rPr>
          <w:bCs/>
          <w:iCs/>
          <w:color w:val="000000" w:themeColor="text1"/>
          <w:lang w:val="en-US"/>
        </w:rPr>
      </w:pPr>
    </w:p>
    <w:p w14:paraId="0000002D" w14:textId="4BBF47F0" w:rsidR="00234C7D" w:rsidRPr="007526EC" w:rsidRDefault="00DA616E">
      <w:pPr>
        <w:pBdr>
          <w:top w:val="nil"/>
          <w:left w:val="nil"/>
          <w:bottom w:val="nil"/>
          <w:right w:val="nil"/>
          <w:between w:val="nil"/>
        </w:pBdr>
        <w:spacing w:line="276" w:lineRule="auto"/>
        <w:jc w:val="both"/>
        <w:rPr>
          <w:color w:val="000000" w:themeColor="text1"/>
          <w:sz w:val="20"/>
          <w:szCs w:val="20"/>
          <w:lang w:val="en-US"/>
        </w:rPr>
      </w:pPr>
      <w:r w:rsidRPr="007526EC">
        <w:rPr>
          <w:b/>
          <w:i/>
          <w:noProof/>
          <w:color w:val="000000" w:themeColor="text1"/>
          <w:sz w:val="20"/>
          <w:szCs w:val="20"/>
          <w:lang w:val="en-US" w:eastAsia="en-US"/>
        </w:rPr>
        <w:lastRenderedPageBreak/>
        <w:drawing>
          <wp:anchor distT="0" distB="0" distL="114300" distR="114300" simplePos="0" relativeHeight="251667456" behindDoc="0" locked="0" layoutInCell="1" allowOverlap="1" wp14:anchorId="1FCF2B35" wp14:editId="2D515394">
            <wp:simplePos x="0" y="0"/>
            <wp:positionH relativeFrom="column">
              <wp:posOffset>-186690</wp:posOffset>
            </wp:positionH>
            <wp:positionV relativeFrom="paragraph">
              <wp:posOffset>0</wp:posOffset>
            </wp:positionV>
            <wp:extent cx="6489700" cy="4236720"/>
            <wp:effectExtent l="0" t="0" r="635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7807"/>
                    <a:stretch/>
                  </pic:blipFill>
                  <pic:spPr bwMode="auto">
                    <a:xfrm>
                      <a:off x="0" y="0"/>
                      <a:ext cx="6489700" cy="4236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1874" w:rsidRPr="007526EC">
        <w:rPr>
          <w:b/>
          <w:i/>
          <w:color w:val="000000" w:themeColor="text1"/>
          <w:sz w:val="20"/>
          <w:szCs w:val="20"/>
          <w:lang w:val="en-US"/>
        </w:rPr>
        <w:t xml:space="preserve">Figure 2. </w:t>
      </w:r>
      <w:r w:rsidR="00C71874" w:rsidRPr="007526EC">
        <w:rPr>
          <w:b/>
          <w:color w:val="000000" w:themeColor="text1"/>
          <w:sz w:val="20"/>
          <w:szCs w:val="20"/>
          <w:lang w:val="en-US"/>
        </w:rPr>
        <w:t>THP</w:t>
      </w:r>
      <w:r w:rsidR="005807B7" w:rsidRPr="007526EC">
        <w:rPr>
          <w:b/>
          <w:color w:val="000000" w:themeColor="text1"/>
          <w:sz w:val="20"/>
          <w:szCs w:val="20"/>
          <w:lang w:val="en-US"/>
        </w:rPr>
        <w:t>-</w:t>
      </w:r>
      <w:r w:rsidR="00C71874" w:rsidRPr="007526EC">
        <w:rPr>
          <w:b/>
          <w:color w:val="000000" w:themeColor="text1"/>
          <w:sz w:val="20"/>
          <w:szCs w:val="20"/>
          <w:lang w:val="en-US"/>
        </w:rPr>
        <w:t>1 cells deliver oHSV-1 to U87</w:t>
      </w:r>
      <w:r w:rsidR="005807B7" w:rsidRPr="007526EC">
        <w:rPr>
          <w:b/>
          <w:color w:val="000000" w:themeColor="text1"/>
          <w:sz w:val="20"/>
          <w:szCs w:val="20"/>
          <w:lang w:val="en-US"/>
        </w:rPr>
        <w:t>-MG</w:t>
      </w:r>
      <w:r w:rsidR="00C71874" w:rsidRPr="007526EC">
        <w:rPr>
          <w:b/>
          <w:color w:val="000000" w:themeColor="text1"/>
          <w:sz w:val="20"/>
          <w:szCs w:val="20"/>
          <w:lang w:val="en-US"/>
        </w:rPr>
        <w:t xml:space="preserve"> spheroids and the infection decreases tumor cells viability. A. </w:t>
      </w:r>
      <w:r w:rsidR="00C71874" w:rsidRPr="007526EC">
        <w:rPr>
          <w:color w:val="000000" w:themeColor="text1"/>
          <w:sz w:val="20"/>
          <w:szCs w:val="20"/>
          <w:lang w:val="en-US"/>
        </w:rPr>
        <w:t>Spheroid characterization</w:t>
      </w:r>
      <w:r w:rsidR="005568C0" w:rsidRPr="007526EC">
        <w:rPr>
          <w:color w:val="000000" w:themeColor="text1"/>
          <w:sz w:val="20"/>
          <w:szCs w:val="20"/>
          <w:lang w:val="en-US"/>
        </w:rPr>
        <w:t xml:space="preserve"> showing t</w:t>
      </w:r>
      <w:r w:rsidR="00C71874" w:rsidRPr="007526EC">
        <w:rPr>
          <w:color w:val="000000" w:themeColor="text1"/>
          <w:sz w:val="20"/>
          <w:szCs w:val="20"/>
          <w:lang w:val="en-US"/>
        </w:rPr>
        <w:t xml:space="preserve">ime course </w:t>
      </w:r>
      <w:proofErr w:type="spellStart"/>
      <w:r w:rsidR="00C71874" w:rsidRPr="007526EC">
        <w:rPr>
          <w:color w:val="000000" w:themeColor="text1"/>
          <w:sz w:val="20"/>
          <w:szCs w:val="20"/>
          <w:lang w:val="en-US"/>
        </w:rPr>
        <w:t>AnaSP</w:t>
      </w:r>
      <w:proofErr w:type="spellEnd"/>
      <w:r w:rsidR="00C71874" w:rsidRPr="007526EC">
        <w:rPr>
          <w:color w:val="000000" w:themeColor="text1"/>
          <w:sz w:val="20"/>
          <w:szCs w:val="20"/>
          <w:lang w:val="en-US"/>
        </w:rPr>
        <w:t xml:space="preserve"> measurements of: Equivalent diameter</w:t>
      </w:r>
      <w:r w:rsidR="005807B7" w:rsidRPr="007526EC">
        <w:rPr>
          <w:color w:val="000000" w:themeColor="text1"/>
          <w:sz w:val="20"/>
          <w:szCs w:val="20"/>
          <w:lang w:val="en-US"/>
        </w:rPr>
        <w:t xml:space="preserve"> (D</w:t>
      </w:r>
      <w:r w:rsidR="005807B7" w:rsidRPr="007526EC">
        <w:rPr>
          <w:color w:val="000000" w:themeColor="text1"/>
          <w:sz w:val="20"/>
          <w:szCs w:val="20"/>
          <w:vertAlign w:val="subscript"/>
          <w:lang w:val="en-US"/>
        </w:rPr>
        <w:t>e</w:t>
      </w:r>
      <w:r w:rsidR="005807B7" w:rsidRPr="007526EC">
        <w:rPr>
          <w:color w:val="000000" w:themeColor="text1"/>
          <w:sz w:val="20"/>
          <w:szCs w:val="20"/>
          <w:lang w:val="en-US"/>
        </w:rPr>
        <w:t>)</w:t>
      </w:r>
      <w:r w:rsidR="00C71874" w:rsidRPr="007526EC">
        <w:rPr>
          <w:color w:val="000000" w:themeColor="text1"/>
          <w:sz w:val="20"/>
          <w:szCs w:val="20"/>
          <w:lang w:val="en-US"/>
        </w:rPr>
        <w:t>, Sphericity Index</w:t>
      </w:r>
      <w:r w:rsidR="005807B7" w:rsidRPr="007526EC">
        <w:rPr>
          <w:color w:val="000000" w:themeColor="text1"/>
          <w:sz w:val="20"/>
          <w:szCs w:val="20"/>
          <w:lang w:val="en-US"/>
        </w:rPr>
        <w:t xml:space="preserve"> (SI)</w:t>
      </w:r>
      <w:r w:rsidR="00C71874" w:rsidRPr="007526EC">
        <w:rPr>
          <w:color w:val="000000" w:themeColor="text1"/>
          <w:sz w:val="20"/>
          <w:szCs w:val="20"/>
          <w:lang w:val="en-US"/>
        </w:rPr>
        <w:t xml:space="preserve">, Solidity, and Compactness. </w:t>
      </w:r>
      <w:r w:rsidR="00C71874" w:rsidRPr="007526EC">
        <w:rPr>
          <w:b/>
          <w:color w:val="000000" w:themeColor="text1"/>
          <w:sz w:val="20"/>
          <w:szCs w:val="20"/>
          <w:lang w:val="en-US"/>
        </w:rPr>
        <w:t>B.</w:t>
      </w:r>
      <w:r w:rsidR="00C71874" w:rsidRPr="007526EC">
        <w:rPr>
          <w:color w:val="000000" w:themeColor="text1"/>
          <w:sz w:val="20"/>
          <w:szCs w:val="20"/>
          <w:lang w:val="en-US"/>
        </w:rPr>
        <w:t xml:space="preserve"> Representative phalloidin + DAPI staining (left) and Live/Dead assay (right) </w:t>
      </w:r>
      <w:r w:rsidR="006B78A7" w:rsidRPr="007526EC">
        <w:rPr>
          <w:color w:val="000000" w:themeColor="text1"/>
          <w:sz w:val="20"/>
          <w:szCs w:val="20"/>
          <w:lang w:val="en-US"/>
        </w:rPr>
        <w:t>on</w:t>
      </w:r>
      <w:r w:rsidR="00C71874" w:rsidRPr="007526EC">
        <w:rPr>
          <w:color w:val="000000" w:themeColor="text1"/>
          <w:sz w:val="20"/>
          <w:szCs w:val="20"/>
          <w:lang w:val="en-US"/>
        </w:rPr>
        <w:t xml:space="preserve"> day 7. F-actin filaments are marked red and cell nuclei blue, showing a correct distribution throughout the 3D structure. Cell viability is consistently high in both the shell and core of the spheroids, with cell nuclei marked in blue with Hoechst and cytoplasm of living cells marked in green with </w:t>
      </w:r>
      <w:proofErr w:type="spellStart"/>
      <w:r w:rsidR="00C71874" w:rsidRPr="007526EC">
        <w:rPr>
          <w:color w:val="000000" w:themeColor="text1"/>
          <w:sz w:val="20"/>
          <w:szCs w:val="20"/>
          <w:lang w:val="en-US"/>
        </w:rPr>
        <w:t>Calcein</w:t>
      </w:r>
      <w:proofErr w:type="spellEnd"/>
      <w:r w:rsidR="00C71874" w:rsidRPr="007526EC">
        <w:rPr>
          <w:color w:val="000000" w:themeColor="text1"/>
          <w:sz w:val="20"/>
          <w:szCs w:val="20"/>
          <w:lang w:val="en-US"/>
        </w:rPr>
        <w:t xml:space="preserve">-AM. Scale bars 400 µm. </w:t>
      </w:r>
      <w:r w:rsidR="00C71874" w:rsidRPr="007526EC">
        <w:rPr>
          <w:b/>
          <w:color w:val="000000" w:themeColor="text1"/>
          <w:sz w:val="20"/>
          <w:szCs w:val="20"/>
          <w:lang w:val="en-US"/>
        </w:rPr>
        <w:t>C.</w:t>
      </w:r>
      <w:r w:rsidR="00C71874" w:rsidRPr="007526EC">
        <w:rPr>
          <w:color w:val="000000" w:themeColor="text1"/>
          <w:sz w:val="20"/>
          <w:szCs w:val="20"/>
          <w:lang w:val="en-US"/>
        </w:rPr>
        <w:t xml:space="preserve"> U87-MG spheroids treated with THP-1 cells infected at MOI of 3 PFU/cell and labeled with </w:t>
      </w:r>
      <w:proofErr w:type="spellStart"/>
      <w:r w:rsidR="00C71874" w:rsidRPr="007526EC">
        <w:rPr>
          <w:color w:val="000000" w:themeColor="text1"/>
          <w:sz w:val="20"/>
          <w:szCs w:val="20"/>
          <w:lang w:val="en-US"/>
        </w:rPr>
        <w:t>CellTracker</w:t>
      </w:r>
      <w:proofErr w:type="spellEnd"/>
      <w:r w:rsidR="00C71874" w:rsidRPr="007526EC">
        <w:rPr>
          <w:color w:val="000000" w:themeColor="text1"/>
          <w:sz w:val="20"/>
          <w:szCs w:val="20"/>
          <w:lang w:val="en-US"/>
        </w:rPr>
        <w:t xml:space="preserve">™ Green (500 cells/well). On day 7, the red signal of the encoded </w:t>
      </w:r>
      <w:proofErr w:type="spellStart"/>
      <w:r w:rsidR="00C71874" w:rsidRPr="007526EC">
        <w:rPr>
          <w:color w:val="000000" w:themeColor="text1"/>
          <w:sz w:val="20"/>
          <w:szCs w:val="20"/>
          <w:lang w:val="en-US"/>
        </w:rPr>
        <w:t>mCherry</w:t>
      </w:r>
      <w:proofErr w:type="spellEnd"/>
      <w:r w:rsidR="00C71874" w:rsidRPr="007526EC">
        <w:rPr>
          <w:color w:val="000000" w:themeColor="text1"/>
          <w:sz w:val="20"/>
          <w:szCs w:val="20"/>
          <w:lang w:val="en-US"/>
        </w:rPr>
        <w:t xml:space="preserve"> protein proves that viral infection propagated throughout the entire spheroid.</w:t>
      </w:r>
      <w:r w:rsidR="003D09AF" w:rsidRPr="007526EC">
        <w:rPr>
          <w:color w:val="000000" w:themeColor="text1"/>
          <w:sz w:val="20"/>
          <w:szCs w:val="20"/>
          <w:lang w:val="en-US"/>
        </w:rPr>
        <w:t xml:space="preserve"> In the zoomed view, arrows highlight yellow cells, representing infected monocytes in which viral replication is occurring.</w:t>
      </w:r>
      <w:r w:rsidR="003D09AF" w:rsidRPr="007526EC">
        <w:rPr>
          <w:color w:val="000000" w:themeColor="text1"/>
          <w:lang w:val="en-US"/>
        </w:rPr>
        <w:t xml:space="preserve"> </w:t>
      </w:r>
      <w:r w:rsidR="00C71874" w:rsidRPr="007526EC">
        <w:rPr>
          <w:b/>
          <w:color w:val="000000" w:themeColor="text1"/>
          <w:sz w:val="20"/>
          <w:szCs w:val="20"/>
          <w:lang w:val="en-US"/>
        </w:rPr>
        <w:t>D.</w:t>
      </w:r>
      <w:r w:rsidR="00C71874" w:rsidRPr="007526EC">
        <w:rPr>
          <w:color w:val="000000" w:themeColor="text1"/>
          <w:sz w:val="20"/>
          <w:szCs w:val="20"/>
          <w:lang w:val="en-US"/>
        </w:rPr>
        <w:t xml:space="preserve"> MTT assay </w:t>
      </w:r>
      <w:r w:rsidR="005568C0" w:rsidRPr="007526EC">
        <w:rPr>
          <w:color w:val="000000" w:themeColor="text1"/>
          <w:sz w:val="20"/>
          <w:szCs w:val="20"/>
          <w:lang w:val="en-US"/>
        </w:rPr>
        <w:t>at</w:t>
      </w:r>
      <w:r w:rsidR="00C71874" w:rsidRPr="007526EC">
        <w:rPr>
          <w:color w:val="000000" w:themeColor="text1"/>
          <w:sz w:val="20"/>
          <w:szCs w:val="20"/>
          <w:lang w:val="en-US"/>
        </w:rPr>
        <w:t xml:space="preserve"> day 7. Values are expressed as median ± SEM from at least 3 independent experiments. ****p&lt;0.0001 vs control. </w:t>
      </w:r>
    </w:p>
    <w:p w14:paraId="54DF3F03" w14:textId="77777777" w:rsidR="005D12A8" w:rsidRPr="007526EC" w:rsidRDefault="005D12A8">
      <w:pPr>
        <w:pBdr>
          <w:top w:val="nil"/>
          <w:left w:val="nil"/>
          <w:bottom w:val="nil"/>
          <w:right w:val="nil"/>
          <w:between w:val="nil"/>
        </w:pBdr>
        <w:spacing w:line="276" w:lineRule="auto"/>
        <w:jc w:val="both"/>
        <w:rPr>
          <w:bCs/>
          <w:iCs/>
          <w:color w:val="000000" w:themeColor="text1"/>
          <w:lang w:val="en-US"/>
        </w:rPr>
      </w:pPr>
    </w:p>
    <w:p w14:paraId="0000002E" w14:textId="77777777" w:rsidR="00234C7D" w:rsidRPr="007526EC" w:rsidRDefault="00C71874">
      <w:pPr>
        <w:numPr>
          <w:ilvl w:val="1"/>
          <w:numId w:val="1"/>
        </w:numPr>
        <w:pBdr>
          <w:top w:val="nil"/>
          <w:left w:val="nil"/>
          <w:bottom w:val="nil"/>
          <w:right w:val="nil"/>
          <w:between w:val="nil"/>
        </w:pBdr>
        <w:spacing w:before="120" w:after="80" w:line="276" w:lineRule="auto"/>
        <w:ind w:left="357" w:hanging="357"/>
        <w:jc w:val="both"/>
        <w:rPr>
          <w:b/>
          <w:color w:val="000000" w:themeColor="text1"/>
          <w:lang w:val="en-US"/>
        </w:rPr>
      </w:pPr>
      <w:r w:rsidRPr="007526EC">
        <w:rPr>
          <w:b/>
          <w:color w:val="000000" w:themeColor="text1"/>
          <w:lang w:val="en-US"/>
        </w:rPr>
        <w:t>Perfused THP-1 cells loaded with oHSV-1-mCherry cross the BBB and transmit the viral infection to U87-derived tumor spheroids</w:t>
      </w:r>
    </w:p>
    <w:p w14:paraId="0000002F" w14:textId="4E27E860" w:rsidR="00234C7D" w:rsidRPr="007526EC" w:rsidRDefault="00C71874">
      <w:pPr>
        <w:pBdr>
          <w:top w:val="nil"/>
          <w:left w:val="nil"/>
          <w:bottom w:val="nil"/>
          <w:right w:val="nil"/>
          <w:between w:val="nil"/>
        </w:pBdr>
        <w:spacing w:line="276" w:lineRule="auto"/>
        <w:jc w:val="both"/>
        <w:rPr>
          <w:color w:val="000000" w:themeColor="text1"/>
          <w:lang w:val="en-US"/>
        </w:rPr>
      </w:pPr>
      <w:bookmarkStart w:id="0" w:name="_heading=h.9kv3zcdtrkn4" w:colFirst="0" w:colLast="0"/>
      <w:bookmarkEnd w:id="0"/>
      <w:r w:rsidRPr="007526EC">
        <w:rPr>
          <w:color w:val="000000" w:themeColor="text1"/>
          <w:lang w:val="en-US"/>
        </w:rPr>
        <w:t xml:space="preserve">The BBB-on-chip devices containing U87 GBM spheroids (one per microwell, for a total of three spheroids per device) are connected to the perfusion system on the blood side to deliver: </w:t>
      </w:r>
      <w:proofErr w:type="spellStart"/>
      <w:r w:rsidRPr="007526EC">
        <w:rPr>
          <w:i/>
          <w:color w:val="000000" w:themeColor="text1"/>
          <w:lang w:val="en-US"/>
        </w:rPr>
        <w:t>i</w:t>
      </w:r>
      <w:proofErr w:type="spellEnd"/>
      <w:r w:rsidRPr="007526EC">
        <w:rPr>
          <w:i/>
          <w:color w:val="000000" w:themeColor="text1"/>
          <w:lang w:val="en-US"/>
        </w:rPr>
        <w:t>.</w:t>
      </w:r>
      <w:r w:rsidRPr="007526EC">
        <w:rPr>
          <w:color w:val="000000" w:themeColor="text1"/>
          <w:lang w:val="en-US"/>
        </w:rPr>
        <w:t xml:space="preserve"> THP-1 cells labeled with </w:t>
      </w:r>
      <w:proofErr w:type="spellStart"/>
      <w:r w:rsidRPr="007526EC">
        <w:rPr>
          <w:color w:val="000000" w:themeColor="text1"/>
          <w:lang w:val="en-US"/>
        </w:rPr>
        <w:t>CellTracker</w:t>
      </w:r>
      <w:proofErr w:type="spellEnd"/>
      <w:r w:rsidRPr="007526EC">
        <w:rPr>
          <w:color w:val="000000" w:themeColor="text1"/>
          <w:lang w:val="en-US"/>
        </w:rPr>
        <w:t xml:space="preserve">™ Green and infected with oHSV-1-mCherry, </w:t>
      </w:r>
      <w:r w:rsidRPr="007526EC">
        <w:rPr>
          <w:i/>
          <w:color w:val="000000" w:themeColor="text1"/>
          <w:lang w:val="en-US"/>
        </w:rPr>
        <w:t>ii.</w:t>
      </w:r>
      <w:r w:rsidRPr="007526EC">
        <w:rPr>
          <w:color w:val="000000" w:themeColor="text1"/>
          <w:lang w:val="en-US"/>
        </w:rPr>
        <w:t xml:space="preserve"> Uninfected, labeled THP-1 cells, or </w:t>
      </w:r>
      <w:r w:rsidRPr="007526EC">
        <w:rPr>
          <w:i/>
          <w:color w:val="000000" w:themeColor="text1"/>
          <w:lang w:val="en-US"/>
        </w:rPr>
        <w:t>iii.</w:t>
      </w:r>
      <w:r w:rsidRPr="007526EC">
        <w:rPr>
          <w:color w:val="000000" w:themeColor="text1"/>
          <w:lang w:val="en-US"/>
        </w:rPr>
        <w:t xml:space="preserve"> free oHSV-1-mCherry. Negative controls are performed perfusing culture media only. Each device is maintained in perfused conditions and analyzed over several days using fluorescence microscopy to evaluate monocyte migration across the BBB and the transmission and spreading of the viral infection to the tumor spheroids.</w:t>
      </w:r>
    </w:p>
    <w:p w14:paraId="54621071" w14:textId="76D1407D" w:rsidR="00174F3F" w:rsidRPr="007526EC" w:rsidRDefault="00C71874" w:rsidP="00FF3413">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First, green-labeled THP-1 monocytes can be detected in the apical compartment (blood side), and as early as after 24 hours successfully cross the BBB and are found </w:t>
      </w:r>
      <w:r w:rsidR="005807B7" w:rsidRPr="007526EC">
        <w:rPr>
          <w:color w:val="000000" w:themeColor="text1"/>
          <w:lang w:val="en-US"/>
        </w:rPr>
        <w:t xml:space="preserve">in the microchannel and </w:t>
      </w:r>
      <w:r w:rsidRPr="007526EC">
        <w:rPr>
          <w:color w:val="000000" w:themeColor="text1"/>
          <w:lang w:val="en-US"/>
        </w:rPr>
        <w:t>in the microwells containing the U87 GBM spheroids (</w:t>
      </w:r>
      <w:r w:rsidRPr="007526EC">
        <w:rPr>
          <w:b/>
          <w:color w:val="000000" w:themeColor="text1"/>
          <w:lang w:val="en-US"/>
        </w:rPr>
        <w:t>Figure 3.A</w:t>
      </w:r>
      <w:r w:rsidRPr="007526EC">
        <w:rPr>
          <w:color w:val="000000" w:themeColor="text1"/>
          <w:lang w:val="en-US"/>
        </w:rPr>
        <w:t>). Analyzing the tumor compartment with the GBM spheroids (</w:t>
      </w:r>
      <w:r w:rsidRPr="007526EC">
        <w:rPr>
          <w:b/>
          <w:color w:val="000000" w:themeColor="text1"/>
          <w:lang w:val="en-US"/>
        </w:rPr>
        <w:t>Figure 3.</w:t>
      </w:r>
      <w:r w:rsidR="00A212E5" w:rsidRPr="007526EC">
        <w:rPr>
          <w:b/>
          <w:color w:val="000000" w:themeColor="text1"/>
          <w:lang w:val="en-US"/>
        </w:rPr>
        <w:t>B</w:t>
      </w:r>
      <w:r w:rsidRPr="007526EC">
        <w:rPr>
          <w:color w:val="000000" w:themeColor="text1"/>
          <w:lang w:val="en-US"/>
        </w:rPr>
        <w:t xml:space="preserve">), fluorescent signals are detected </w:t>
      </w:r>
      <w:r w:rsidR="006A5154" w:rsidRPr="007526EC">
        <w:rPr>
          <w:color w:val="000000" w:themeColor="text1"/>
          <w:lang w:val="en-US"/>
        </w:rPr>
        <w:t>after</w:t>
      </w:r>
      <w:r w:rsidRPr="007526EC">
        <w:rPr>
          <w:color w:val="000000" w:themeColor="text1"/>
          <w:lang w:val="en-US"/>
        </w:rPr>
        <w:t xml:space="preserve"> 24 hours, representative of </w:t>
      </w:r>
      <w:r w:rsidRPr="007526EC">
        <w:rPr>
          <w:color w:val="000000" w:themeColor="text1"/>
          <w:lang w:val="en-US"/>
        </w:rPr>
        <w:lastRenderedPageBreak/>
        <w:t>THP-1 cells (green) and virally infected cells (red), further confirming successful crossing of the BBB and targeted migration towards the tumor spheroids. At the later time points of 48 and 72 hours, THP-1 cells infected with oHSV-1-mCherry penetrate the tumor spheroids, further transmitting the virus to cancer cells. Free oHSV-1-mCherry viral particles similarly reach the microwells and infect the spheroids,</w:t>
      </w:r>
      <w:r w:rsidR="00F63420" w:rsidRPr="007526EC">
        <w:rPr>
          <w:color w:val="000000" w:themeColor="text1"/>
          <w:lang w:val="en-US"/>
        </w:rPr>
        <w:t xml:space="preserve"> </w:t>
      </w:r>
      <w:r w:rsidR="0021707D" w:rsidRPr="007526EC">
        <w:rPr>
          <w:color w:val="000000" w:themeColor="text1"/>
          <w:lang w:val="en-US"/>
        </w:rPr>
        <w:t xml:space="preserve">as reported in </w:t>
      </w:r>
      <w:r w:rsidR="0021707D" w:rsidRPr="007526EC">
        <w:rPr>
          <w:b/>
          <w:color w:val="000000" w:themeColor="text1"/>
          <w:lang w:val="en-US"/>
        </w:rPr>
        <w:t>Figure 3.C</w:t>
      </w:r>
      <w:r w:rsidRPr="007526EC">
        <w:rPr>
          <w:color w:val="000000" w:themeColor="text1"/>
          <w:lang w:val="en-US"/>
        </w:rPr>
        <w:t xml:space="preserve">. </w:t>
      </w:r>
      <w:r w:rsidR="00174F3F" w:rsidRPr="007526EC">
        <w:rPr>
          <w:color w:val="000000" w:themeColor="text1"/>
          <w:lang w:val="en-US"/>
        </w:rPr>
        <w:t>After</w:t>
      </w:r>
      <w:r w:rsidRPr="007526EC">
        <w:rPr>
          <w:color w:val="000000" w:themeColor="text1"/>
          <w:lang w:val="en-US"/>
        </w:rPr>
        <w:t xml:space="preserve"> 72 hours, uninfected THP-1 cells </w:t>
      </w:r>
      <w:r w:rsidR="00174F3F" w:rsidRPr="007526EC">
        <w:rPr>
          <w:color w:val="000000" w:themeColor="text1"/>
          <w:lang w:val="en-US"/>
        </w:rPr>
        <w:t>continue to proliferate,</w:t>
      </w:r>
      <w:r w:rsidRPr="007526EC">
        <w:rPr>
          <w:color w:val="000000" w:themeColor="text1"/>
          <w:lang w:val="en-US"/>
        </w:rPr>
        <w:t xml:space="preserve"> </w:t>
      </w:r>
      <w:r w:rsidR="00174F3F" w:rsidRPr="007526EC">
        <w:rPr>
          <w:color w:val="000000" w:themeColor="text1"/>
          <w:lang w:val="en-US"/>
        </w:rPr>
        <w:t>as</w:t>
      </w:r>
      <w:r w:rsidRPr="007526EC">
        <w:rPr>
          <w:color w:val="000000" w:themeColor="text1"/>
          <w:lang w:val="en-US"/>
        </w:rPr>
        <w:t xml:space="preserve"> reflected </w:t>
      </w:r>
      <w:r w:rsidR="00174F3F" w:rsidRPr="007526EC">
        <w:rPr>
          <w:color w:val="000000" w:themeColor="text1"/>
          <w:lang w:val="en-US"/>
        </w:rPr>
        <w:t>by</w:t>
      </w:r>
      <w:r w:rsidRPr="007526EC">
        <w:rPr>
          <w:color w:val="000000" w:themeColor="text1"/>
          <w:lang w:val="en-US"/>
        </w:rPr>
        <w:t xml:space="preserve"> the </w:t>
      </w:r>
      <w:r w:rsidR="00174F3F" w:rsidRPr="007526EC">
        <w:rPr>
          <w:color w:val="000000" w:themeColor="text1"/>
          <w:lang w:val="en-US"/>
        </w:rPr>
        <w:t>high</w:t>
      </w:r>
      <w:r w:rsidR="00FB6D2C" w:rsidRPr="007526EC">
        <w:rPr>
          <w:color w:val="000000" w:themeColor="text1"/>
          <w:lang w:val="en-US"/>
        </w:rPr>
        <w:t>er</w:t>
      </w:r>
      <w:r w:rsidR="00174F3F" w:rsidRPr="007526EC">
        <w:rPr>
          <w:color w:val="000000" w:themeColor="text1"/>
          <w:lang w:val="en-US"/>
        </w:rPr>
        <w:t xml:space="preserve"> </w:t>
      </w:r>
      <w:r w:rsidRPr="007526EC">
        <w:rPr>
          <w:color w:val="000000" w:themeColor="text1"/>
          <w:lang w:val="en-US"/>
        </w:rPr>
        <w:t xml:space="preserve">number of green cells </w:t>
      </w:r>
      <w:r w:rsidR="00174F3F" w:rsidRPr="007526EC">
        <w:rPr>
          <w:color w:val="000000" w:themeColor="text1"/>
          <w:lang w:val="en-US"/>
        </w:rPr>
        <w:t>observed</w:t>
      </w:r>
      <w:r w:rsidRPr="007526EC">
        <w:rPr>
          <w:color w:val="000000" w:themeColor="text1"/>
          <w:lang w:val="en-US"/>
        </w:rPr>
        <w:t xml:space="preserve"> in the control panels of </w:t>
      </w:r>
      <w:r w:rsidRPr="007526EC">
        <w:rPr>
          <w:b/>
          <w:color w:val="000000" w:themeColor="text1"/>
          <w:lang w:val="en-US"/>
        </w:rPr>
        <w:t>Figure 3</w:t>
      </w:r>
      <w:r w:rsidR="0021707D" w:rsidRPr="007526EC">
        <w:rPr>
          <w:b/>
          <w:color w:val="000000" w:themeColor="text1"/>
          <w:lang w:val="en-US"/>
        </w:rPr>
        <w:t>.B</w:t>
      </w:r>
      <w:r w:rsidRPr="007526EC">
        <w:rPr>
          <w:color w:val="000000" w:themeColor="text1"/>
          <w:lang w:val="en-US"/>
        </w:rPr>
        <w:t xml:space="preserve">. </w:t>
      </w:r>
      <w:r w:rsidR="00174F3F" w:rsidRPr="007526EC">
        <w:rPr>
          <w:color w:val="000000" w:themeColor="text1"/>
          <w:lang w:val="en-US"/>
        </w:rPr>
        <w:t>In</w:t>
      </w:r>
      <w:r w:rsidRPr="007526EC">
        <w:rPr>
          <w:color w:val="000000" w:themeColor="text1"/>
          <w:lang w:val="en-US"/>
        </w:rPr>
        <w:t xml:space="preserve"> contrast, this number is </w:t>
      </w:r>
      <w:r w:rsidR="00174F3F" w:rsidRPr="007526EC">
        <w:rPr>
          <w:color w:val="000000" w:themeColor="text1"/>
          <w:lang w:val="en-US"/>
        </w:rPr>
        <w:t xml:space="preserve">notably </w:t>
      </w:r>
      <w:r w:rsidRPr="007526EC">
        <w:rPr>
          <w:color w:val="000000" w:themeColor="text1"/>
          <w:lang w:val="en-US"/>
        </w:rPr>
        <w:t xml:space="preserve">reduced in the case of infected THP-1 cells, likely </w:t>
      </w:r>
      <w:r w:rsidR="00174F3F" w:rsidRPr="007526EC">
        <w:rPr>
          <w:color w:val="000000" w:themeColor="text1"/>
          <w:lang w:val="en-US"/>
        </w:rPr>
        <w:t>because</w:t>
      </w:r>
      <w:r w:rsidRPr="007526EC">
        <w:rPr>
          <w:color w:val="000000" w:themeColor="text1"/>
          <w:lang w:val="en-US"/>
        </w:rPr>
        <w:t xml:space="preserve"> of</w:t>
      </w:r>
      <w:r w:rsidR="00174F3F" w:rsidRPr="007526EC">
        <w:rPr>
          <w:color w:val="000000" w:themeColor="text1"/>
          <w:lang w:val="en-US"/>
        </w:rPr>
        <w:t xml:space="preserve"> the</w:t>
      </w:r>
      <w:r w:rsidRPr="007526EC">
        <w:rPr>
          <w:color w:val="000000" w:themeColor="text1"/>
          <w:lang w:val="en-US"/>
        </w:rPr>
        <w:t xml:space="preserve"> </w:t>
      </w:r>
      <w:r w:rsidR="00174F3F" w:rsidRPr="007526EC">
        <w:rPr>
          <w:color w:val="000000" w:themeColor="text1"/>
          <w:lang w:val="en-US"/>
        </w:rPr>
        <w:t xml:space="preserve">cytopathic effects of </w:t>
      </w:r>
      <w:r w:rsidRPr="007526EC">
        <w:rPr>
          <w:color w:val="000000" w:themeColor="text1"/>
          <w:lang w:val="en-US"/>
        </w:rPr>
        <w:t>viral replication</w:t>
      </w:r>
      <w:r w:rsidR="00174F3F" w:rsidRPr="007526EC">
        <w:rPr>
          <w:color w:val="000000" w:themeColor="text1"/>
          <w:lang w:val="en-US"/>
        </w:rPr>
        <w:t>, impacting</w:t>
      </w:r>
      <w:r w:rsidRPr="007526EC">
        <w:rPr>
          <w:color w:val="000000" w:themeColor="text1"/>
          <w:lang w:val="en-US"/>
        </w:rPr>
        <w:t xml:space="preserve"> carrier cells</w:t>
      </w:r>
      <w:r w:rsidR="00174F3F" w:rsidRPr="007526EC">
        <w:rPr>
          <w:color w:val="000000" w:themeColor="text1"/>
          <w:lang w:val="en-US"/>
        </w:rPr>
        <w:t xml:space="preserve"> viability</w:t>
      </w:r>
      <w:r w:rsidRPr="007526EC">
        <w:rPr>
          <w:color w:val="000000" w:themeColor="text1"/>
          <w:lang w:val="en-US"/>
        </w:rPr>
        <w:t xml:space="preserve">. </w:t>
      </w:r>
      <w:r w:rsidR="00FB6D2C" w:rsidRPr="007526EC">
        <w:rPr>
          <w:color w:val="000000" w:themeColor="text1"/>
          <w:lang w:val="en-US"/>
        </w:rPr>
        <w:t>Overall, our data</w:t>
      </w:r>
      <w:r w:rsidR="00FE199F" w:rsidRPr="007526EC">
        <w:rPr>
          <w:color w:val="000000" w:themeColor="text1"/>
          <w:lang w:val="en-US"/>
        </w:rPr>
        <w:t xml:space="preserve"> </w:t>
      </w:r>
      <w:r w:rsidR="00FB6D2C" w:rsidRPr="007526EC">
        <w:rPr>
          <w:color w:val="000000" w:themeColor="text1"/>
          <w:lang w:val="en-US"/>
        </w:rPr>
        <w:t>show that infected THP-1 cells successfully transmigrate across the BBB and deliver the virus to tumor spheroids, providing a targeted delivery route</w:t>
      </w:r>
      <w:r w:rsidR="00FE199F" w:rsidRPr="007526EC">
        <w:rPr>
          <w:color w:val="000000" w:themeColor="text1"/>
          <w:lang w:val="en-US"/>
        </w:rPr>
        <w:t>.</w:t>
      </w:r>
      <w:r w:rsidR="00174F3F" w:rsidRPr="007526EC">
        <w:rPr>
          <w:color w:val="000000" w:themeColor="text1"/>
          <w:lang w:val="en-US"/>
        </w:rPr>
        <w:t xml:space="preserve"> </w:t>
      </w:r>
    </w:p>
    <w:p w14:paraId="00000032" w14:textId="77777777" w:rsidR="00234C7D" w:rsidRPr="007526EC" w:rsidRDefault="00234C7D">
      <w:pPr>
        <w:pBdr>
          <w:top w:val="nil"/>
          <w:left w:val="nil"/>
          <w:bottom w:val="nil"/>
          <w:right w:val="nil"/>
          <w:between w:val="nil"/>
        </w:pBdr>
        <w:spacing w:line="276" w:lineRule="auto"/>
        <w:jc w:val="both"/>
        <w:rPr>
          <w:color w:val="000000" w:themeColor="text1"/>
          <w:lang w:val="en-US"/>
        </w:rPr>
      </w:pPr>
    </w:p>
    <w:p w14:paraId="00000033" w14:textId="77777777" w:rsidR="00234C7D" w:rsidRPr="007526EC" w:rsidRDefault="00C71874">
      <w:pPr>
        <w:pBdr>
          <w:top w:val="nil"/>
          <w:left w:val="nil"/>
          <w:bottom w:val="nil"/>
          <w:right w:val="nil"/>
          <w:between w:val="nil"/>
        </w:pBdr>
        <w:spacing w:before="120" w:after="80" w:line="276" w:lineRule="auto"/>
        <w:jc w:val="both"/>
        <w:rPr>
          <w:b/>
          <w:color w:val="000000" w:themeColor="text1"/>
          <w:lang w:val="en-US"/>
        </w:rPr>
      </w:pPr>
      <w:r w:rsidRPr="007526EC">
        <w:rPr>
          <w:b/>
          <w:color w:val="000000" w:themeColor="text1"/>
          <w:lang w:val="en-US"/>
        </w:rPr>
        <w:t>2.4 Human primary monocytes transmit oHSV-1-mCherry infection to GBM spheroids and cross the BBB in the microfluidic model</w:t>
      </w:r>
    </w:p>
    <w:p w14:paraId="00000034" w14:textId="55241FFB"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Building on the successful transmission of oHSV-1-mCherry infection by THP-1 cells to U87 GBM spheroids, we </w:t>
      </w:r>
      <w:r w:rsidR="00384915" w:rsidRPr="007526EC">
        <w:rPr>
          <w:color w:val="000000" w:themeColor="text1"/>
          <w:lang w:val="en-US"/>
        </w:rPr>
        <w:t xml:space="preserve">further </w:t>
      </w:r>
      <w:r w:rsidR="003E78BB" w:rsidRPr="007526EC">
        <w:rPr>
          <w:color w:val="000000" w:themeColor="text1"/>
          <w:lang w:val="en-US"/>
        </w:rPr>
        <w:t>challenged</w:t>
      </w:r>
      <w:r w:rsidR="00384915" w:rsidRPr="007526EC">
        <w:rPr>
          <w:color w:val="000000" w:themeColor="text1"/>
          <w:lang w:val="en-US"/>
        </w:rPr>
        <w:t xml:space="preserve"> our model</w:t>
      </w:r>
      <w:r w:rsidRPr="007526EC">
        <w:rPr>
          <w:color w:val="000000" w:themeColor="text1"/>
          <w:lang w:val="en-US"/>
        </w:rPr>
        <w:t xml:space="preserve"> us</w:t>
      </w:r>
      <w:r w:rsidR="00384915" w:rsidRPr="007526EC">
        <w:rPr>
          <w:color w:val="000000" w:themeColor="text1"/>
          <w:lang w:val="en-US"/>
        </w:rPr>
        <w:t>ing</w:t>
      </w:r>
      <w:r w:rsidRPr="007526EC">
        <w:rPr>
          <w:color w:val="000000" w:themeColor="text1"/>
          <w:lang w:val="en-US"/>
        </w:rPr>
        <w:t xml:space="preserve"> human primary monocytes from healthy donors, as a more physiologically relevant source for carrier cells. Human primary monocytes isolated from healthy donors are labeled with </w:t>
      </w:r>
      <w:proofErr w:type="spellStart"/>
      <w:r w:rsidRPr="007526EC">
        <w:rPr>
          <w:color w:val="000000" w:themeColor="text1"/>
          <w:lang w:val="en-US"/>
        </w:rPr>
        <w:t>CellTracker</w:t>
      </w:r>
      <w:proofErr w:type="spellEnd"/>
      <w:r w:rsidRPr="007526EC">
        <w:rPr>
          <w:color w:val="000000" w:themeColor="text1"/>
          <w:lang w:val="en-US"/>
        </w:rPr>
        <w:t>™ Green and loaded with oHSV-1-mCherry</w:t>
      </w:r>
      <w:r w:rsidR="00122F3E" w:rsidRPr="00D21FB9">
        <w:rPr>
          <w:color w:val="EE0000"/>
          <w:lang w:val="en-US"/>
        </w:rPr>
        <w:t xml:space="preserve">, at the same MOI used for the infection of THP-1 cells </w:t>
      </w:r>
      <w:r w:rsidRPr="007526EC">
        <w:rPr>
          <w:color w:val="000000" w:themeColor="text1"/>
          <w:lang w:val="en-US"/>
        </w:rPr>
        <w:t xml:space="preserve">(MOI = 3 PFU/cell). </w:t>
      </w:r>
      <w:r w:rsidR="00D21FB9" w:rsidRPr="00D21FB9">
        <w:rPr>
          <w:color w:val="EE0000"/>
          <w:lang w:val="en-US"/>
        </w:rPr>
        <w:t>First</w:t>
      </w:r>
      <w:r w:rsidR="00122F3E" w:rsidRPr="00D21FB9">
        <w:rPr>
          <w:color w:val="EE0000"/>
          <w:lang w:val="en-US"/>
        </w:rPr>
        <w:t>, t</w:t>
      </w:r>
      <w:r w:rsidRPr="00D21FB9">
        <w:rPr>
          <w:color w:val="EE0000"/>
          <w:lang w:val="en-US"/>
        </w:rPr>
        <w:t xml:space="preserve">o </w:t>
      </w:r>
      <w:r w:rsidRPr="007526EC">
        <w:rPr>
          <w:color w:val="000000" w:themeColor="text1"/>
          <w:lang w:val="en-US"/>
        </w:rPr>
        <w:t>assess whether primary monocytes can effectively deliver their viral payload to tumor cells, we co-cultured oHSV-1-mCherry–loaded monocytes with U87 GBM spheroids in standard microwell conditions. Within 24 hours (</w:t>
      </w:r>
      <w:r w:rsidRPr="007526EC">
        <w:rPr>
          <w:b/>
          <w:color w:val="000000" w:themeColor="text1"/>
          <w:lang w:val="en-US"/>
        </w:rPr>
        <w:t>Supplementary Figure S.3A</w:t>
      </w:r>
      <w:r w:rsidRPr="007526EC">
        <w:rPr>
          <w:color w:val="000000" w:themeColor="text1"/>
          <w:lang w:val="en-US"/>
        </w:rPr>
        <w:t xml:space="preserve">), the monocytes successfully migrate toward and infiltrate the spheroids, accumulating both at the tumor periphery and </w:t>
      </w:r>
      <w:r w:rsidR="008D59A8" w:rsidRPr="007526EC">
        <w:rPr>
          <w:color w:val="000000" w:themeColor="text1"/>
          <w:lang w:val="en-US"/>
        </w:rPr>
        <w:t>in the core</w:t>
      </w:r>
      <w:r w:rsidRPr="007526EC">
        <w:rPr>
          <w:color w:val="000000" w:themeColor="text1"/>
          <w:lang w:val="en-US"/>
        </w:rPr>
        <w:t xml:space="preserve">. By 48 hours, active viral replication </w:t>
      </w:r>
      <w:r w:rsidR="007C07DB" w:rsidRPr="007526EC">
        <w:rPr>
          <w:color w:val="000000" w:themeColor="text1"/>
          <w:lang w:val="en-US"/>
        </w:rPr>
        <w:t>becomes</w:t>
      </w:r>
      <w:r w:rsidRPr="007526EC">
        <w:rPr>
          <w:color w:val="000000" w:themeColor="text1"/>
          <w:lang w:val="en-US"/>
        </w:rPr>
        <w:t xml:space="preserve"> evident, and by day 7, red fluoresce</w:t>
      </w:r>
      <w:r w:rsidR="007C07DB" w:rsidRPr="007526EC">
        <w:rPr>
          <w:color w:val="000000" w:themeColor="text1"/>
          <w:lang w:val="en-US"/>
        </w:rPr>
        <w:t>nce</w:t>
      </w:r>
      <w:r w:rsidRPr="007526EC">
        <w:rPr>
          <w:color w:val="000000" w:themeColor="text1"/>
          <w:lang w:val="en-US"/>
        </w:rPr>
        <w:t xml:space="preserve"> from oHSV-1-mCherry is </w:t>
      </w:r>
      <w:r w:rsidR="007C07DB" w:rsidRPr="007526EC">
        <w:rPr>
          <w:color w:val="000000" w:themeColor="text1"/>
          <w:lang w:val="en-US"/>
        </w:rPr>
        <w:t>distributed</w:t>
      </w:r>
      <w:r w:rsidRPr="007526EC">
        <w:rPr>
          <w:color w:val="000000" w:themeColor="text1"/>
          <w:lang w:val="en-US"/>
        </w:rPr>
        <w:t xml:space="preserve"> throughout the 3D tumor </w:t>
      </w:r>
      <w:r w:rsidR="007C07DB" w:rsidRPr="007526EC">
        <w:rPr>
          <w:color w:val="000000" w:themeColor="text1"/>
          <w:lang w:val="en-US"/>
        </w:rPr>
        <w:t>spheroid</w:t>
      </w:r>
      <w:r w:rsidRPr="007526EC">
        <w:rPr>
          <w:color w:val="000000" w:themeColor="text1"/>
          <w:lang w:val="en-US"/>
        </w:rPr>
        <w:t xml:space="preserve">. At this </w:t>
      </w:r>
      <w:r w:rsidR="007C07DB" w:rsidRPr="007526EC">
        <w:rPr>
          <w:color w:val="000000" w:themeColor="text1"/>
          <w:lang w:val="en-US"/>
        </w:rPr>
        <w:t>stage</w:t>
      </w:r>
      <w:r w:rsidRPr="007526EC">
        <w:rPr>
          <w:color w:val="000000" w:themeColor="text1"/>
          <w:lang w:val="en-US"/>
        </w:rPr>
        <w:t xml:space="preserve">, spheroids </w:t>
      </w:r>
      <w:r w:rsidR="007C07DB" w:rsidRPr="007526EC">
        <w:rPr>
          <w:color w:val="000000" w:themeColor="text1"/>
          <w:lang w:val="en-US"/>
        </w:rPr>
        <w:t>treated with</w:t>
      </w:r>
      <w:r w:rsidRPr="007526EC">
        <w:rPr>
          <w:color w:val="000000" w:themeColor="text1"/>
          <w:lang w:val="en-US"/>
        </w:rPr>
        <w:t xml:space="preserve"> </w:t>
      </w:r>
      <w:r w:rsidR="007C07DB" w:rsidRPr="007526EC">
        <w:rPr>
          <w:color w:val="000000" w:themeColor="text1"/>
          <w:lang w:val="en-US"/>
        </w:rPr>
        <w:t xml:space="preserve">oHSV-1-loaded </w:t>
      </w:r>
      <w:r w:rsidRPr="007526EC">
        <w:rPr>
          <w:color w:val="000000" w:themeColor="text1"/>
          <w:lang w:val="en-US"/>
        </w:rPr>
        <w:t xml:space="preserve">primary monocytes </w:t>
      </w:r>
      <w:r w:rsidR="007C07DB" w:rsidRPr="007526EC">
        <w:rPr>
          <w:color w:val="000000" w:themeColor="text1"/>
          <w:lang w:val="en-US"/>
        </w:rPr>
        <w:t>display a pronounced</w:t>
      </w:r>
      <w:r w:rsidRPr="007526EC">
        <w:rPr>
          <w:color w:val="000000" w:themeColor="text1"/>
          <w:lang w:val="en-US"/>
        </w:rPr>
        <w:t xml:space="preserve"> reduction in viability compared to untreated controls (</w:t>
      </w:r>
      <w:r w:rsidRPr="007526EC">
        <w:rPr>
          <w:b/>
          <w:color w:val="000000" w:themeColor="text1"/>
          <w:lang w:val="en-US"/>
        </w:rPr>
        <w:t>Supplementary Figure S.3B</w:t>
      </w:r>
      <w:r w:rsidRPr="007526EC">
        <w:rPr>
          <w:color w:val="000000" w:themeColor="text1"/>
          <w:lang w:val="en-US"/>
        </w:rPr>
        <w:t xml:space="preserve">). </w:t>
      </w:r>
    </w:p>
    <w:p w14:paraId="10E5EBDC" w14:textId="5F962179" w:rsidR="004347BC" w:rsidRPr="007526EC" w:rsidRDefault="004347BC">
      <w:pPr>
        <w:pBdr>
          <w:top w:val="nil"/>
          <w:left w:val="nil"/>
          <w:bottom w:val="nil"/>
          <w:right w:val="nil"/>
          <w:between w:val="nil"/>
        </w:pBdr>
        <w:spacing w:line="276" w:lineRule="auto"/>
        <w:jc w:val="both"/>
        <w:rPr>
          <w:color w:val="000000" w:themeColor="text1"/>
          <w:lang w:val="en-US"/>
        </w:rPr>
      </w:pPr>
    </w:p>
    <w:p w14:paraId="4AA85CA1" w14:textId="77777777" w:rsidR="007C07DB" w:rsidRPr="007526EC" w:rsidRDefault="007C07DB">
      <w:pPr>
        <w:pBdr>
          <w:top w:val="nil"/>
          <w:left w:val="nil"/>
          <w:bottom w:val="nil"/>
          <w:right w:val="nil"/>
          <w:between w:val="nil"/>
        </w:pBdr>
        <w:spacing w:line="276" w:lineRule="auto"/>
        <w:jc w:val="both"/>
        <w:rPr>
          <w:color w:val="000000" w:themeColor="text1"/>
          <w:lang w:val="en-US"/>
        </w:rPr>
      </w:pPr>
    </w:p>
    <w:p w14:paraId="00000035" w14:textId="0A0A5D42" w:rsidR="00234C7D" w:rsidRPr="007526EC" w:rsidRDefault="00DC45A8">
      <w:pPr>
        <w:pBdr>
          <w:top w:val="nil"/>
          <w:left w:val="nil"/>
          <w:bottom w:val="nil"/>
          <w:right w:val="nil"/>
          <w:between w:val="nil"/>
        </w:pBdr>
        <w:spacing w:line="276" w:lineRule="auto"/>
        <w:jc w:val="both"/>
        <w:rPr>
          <w:color w:val="000000" w:themeColor="text1"/>
          <w:lang w:val="en-US"/>
        </w:rPr>
      </w:pPr>
      <w:r w:rsidRPr="007526EC">
        <w:rPr>
          <w:noProof/>
          <w:color w:val="000000" w:themeColor="text1"/>
          <w:lang w:val="en-US" w:eastAsia="en-US"/>
        </w:rPr>
        <w:lastRenderedPageBreak/>
        <w:drawing>
          <wp:anchor distT="0" distB="0" distL="114300" distR="114300" simplePos="0" relativeHeight="251670528" behindDoc="0" locked="0" layoutInCell="1" allowOverlap="1" wp14:anchorId="6927E008" wp14:editId="0FEAE5E4">
            <wp:simplePos x="0" y="0"/>
            <wp:positionH relativeFrom="column">
              <wp:posOffset>353638</wp:posOffset>
            </wp:positionH>
            <wp:positionV relativeFrom="paragraph">
              <wp:posOffset>0</wp:posOffset>
            </wp:positionV>
            <wp:extent cx="5454015" cy="5767705"/>
            <wp:effectExtent l="0" t="0" r="0" b="4445"/>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4015" cy="5767705"/>
                    </a:xfrm>
                    <a:prstGeom prst="rect">
                      <a:avLst/>
                    </a:prstGeom>
                    <a:noFill/>
                  </pic:spPr>
                </pic:pic>
              </a:graphicData>
            </a:graphic>
            <wp14:sizeRelH relativeFrom="margin">
              <wp14:pctWidth>0</wp14:pctWidth>
            </wp14:sizeRelH>
            <wp14:sizeRelV relativeFrom="margin">
              <wp14:pctHeight>0</wp14:pctHeight>
            </wp14:sizeRelV>
          </wp:anchor>
        </w:drawing>
      </w:r>
      <w:r w:rsidR="00C71874" w:rsidRPr="007526EC">
        <w:rPr>
          <w:b/>
          <w:i/>
          <w:color w:val="000000" w:themeColor="text1"/>
          <w:sz w:val="20"/>
          <w:szCs w:val="20"/>
          <w:lang w:val="en-US"/>
        </w:rPr>
        <w:t>Figure 3.</w:t>
      </w:r>
      <w:r w:rsidR="00C71874" w:rsidRPr="007526EC">
        <w:rPr>
          <w:b/>
          <w:color w:val="000000" w:themeColor="text1"/>
          <w:sz w:val="20"/>
          <w:szCs w:val="20"/>
          <w:lang w:val="en-US"/>
        </w:rPr>
        <w:t xml:space="preserve"> THP-1 cells cross the BBB-on-chip and deliver oHSV-1 to GBM tumor spheroids. A. </w:t>
      </w:r>
      <w:r w:rsidR="00C71874" w:rsidRPr="007526EC">
        <w:rPr>
          <w:color w:val="000000" w:themeColor="text1"/>
          <w:sz w:val="20"/>
          <w:szCs w:val="20"/>
          <w:lang w:val="en-US"/>
        </w:rPr>
        <w:t xml:space="preserve">The BBB-on-chip model is perfused with naïve THP-1 cells marked with </w:t>
      </w:r>
      <w:proofErr w:type="spellStart"/>
      <w:r w:rsidR="00C71874" w:rsidRPr="007526EC">
        <w:rPr>
          <w:color w:val="000000" w:themeColor="text1"/>
          <w:sz w:val="20"/>
          <w:szCs w:val="20"/>
          <w:lang w:val="en-US"/>
        </w:rPr>
        <w:t>CellTracker</w:t>
      </w:r>
      <w:proofErr w:type="spellEnd"/>
      <w:r w:rsidR="00C71874" w:rsidRPr="007526EC">
        <w:rPr>
          <w:color w:val="000000" w:themeColor="text1"/>
          <w:sz w:val="20"/>
          <w:szCs w:val="20"/>
          <w:lang w:val="en-US"/>
        </w:rPr>
        <w:t xml:space="preserve">™ Green (5 x 10⁵ cells/chip). After 24 hours, THP-1 cells crossing the BBB reach the GBM spheroids in the microwells of the tumor compartment. </w:t>
      </w:r>
      <w:r w:rsidR="00C71874" w:rsidRPr="007526EC">
        <w:rPr>
          <w:b/>
          <w:color w:val="000000" w:themeColor="text1"/>
          <w:sz w:val="20"/>
          <w:szCs w:val="20"/>
          <w:lang w:val="en-US"/>
        </w:rPr>
        <w:t>B.</w:t>
      </w:r>
      <w:r w:rsidR="00C71874" w:rsidRPr="007526EC">
        <w:rPr>
          <w:color w:val="000000" w:themeColor="text1"/>
          <w:sz w:val="20"/>
          <w:szCs w:val="20"/>
          <w:lang w:val="en-US"/>
        </w:rPr>
        <w:t xml:space="preserve"> U87 GBM spheroids within the BBB-on-chip perfused with THP-1 cells labeled with </w:t>
      </w:r>
      <w:proofErr w:type="spellStart"/>
      <w:r w:rsidR="00C71874" w:rsidRPr="007526EC">
        <w:rPr>
          <w:color w:val="000000" w:themeColor="text1"/>
          <w:sz w:val="20"/>
          <w:szCs w:val="20"/>
          <w:lang w:val="en-US"/>
        </w:rPr>
        <w:t>CellTracker</w:t>
      </w:r>
      <w:proofErr w:type="spellEnd"/>
      <w:r w:rsidR="00C71874" w:rsidRPr="007526EC">
        <w:rPr>
          <w:color w:val="000000" w:themeColor="text1"/>
          <w:sz w:val="20"/>
          <w:szCs w:val="20"/>
          <w:lang w:val="en-US"/>
        </w:rPr>
        <w:t xml:space="preserve">™ Green and infected with oHSV-1-mCherry (MOI = 3 PFU/cell, 5 x 10⁵ cells/chip), after 24, 48, and 72 hours. </w:t>
      </w:r>
      <w:r w:rsidR="0088792E" w:rsidRPr="007526EC">
        <w:rPr>
          <w:b/>
          <w:color w:val="000000" w:themeColor="text1"/>
          <w:sz w:val="20"/>
          <w:szCs w:val="20"/>
          <w:lang w:val="en-US"/>
        </w:rPr>
        <w:t>C</w:t>
      </w:r>
      <w:r w:rsidR="00C71874" w:rsidRPr="007526EC">
        <w:rPr>
          <w:b/>
          <w:color w:val="000000" w:themeColor="text1"/>
          <w:sz w:val="20"/>
          <w:szCs w:val="20"/>
          <w:lang w:val="en-US"/>
        </w:rPr>
        <w:t>.</w:t>
      </w:r>
      <w:r w:rsidR="00C71874" w:rsidRPr="007526EC">
        <w:rPr>
          <w:color w:val="000000" w:themeColor="text1"/>
          <w:sz w:val="20"/>
          <w:szCs w:val="20"/>
          <w:lang w:val="en-US"/>
        </w:rPr>
        <w:t xml:space="preserve"> U87 GBM spheroids within the BBB-on-chip after perfusion with free oHSV-1-mCherry (1.5 x 10⁶ PFU/chip) after 24, 48, and 72 hours. Scale bar: 200 µm.</w:t>
      </w:r>
    </w:p>
    <w:p w14:paraId="00000036" w14:textId="77777777" w:rsidR="00234C7D" w:rsidRPr="007526EC" w:rsidRDefault="00234C7D">
      <w:pPr>
        <w:pBdr>
          <w:top w:val="nil"/>
          <w:left w:val="nil"/>
          <w:bottom w:val="nil"/>
          <w:right w:val="nil"/>
          <w:between w:val="nil"/>
        </w:pBdr>
        <w:jc w:val="both"/>
        <w:rPr>
          <w:color w:val="000000" w:themeColor="text1"/>
          <w:sz w:val="20"/>
          <w:szCs w:val="20"/>
          <w:lang w:val="en-US"/>
        </w:rPr>
      </w:pPr>
    </w:p>
    <w:p w14:paraId="3FFF8598" w14:textId="7DD8DF7E" w:rsidR="0083648D" w:rsidRPr="007526EC" w:rsidRDefault="00122F3E" w:rsidP="00D21FB9">
      <w:pPr>
        <w:spacing w:before="120" w:after="40" w:line="276" w:lineRule="auto"/>
        <w:jc w:val="both"/>
        <w:rPr>
          <w:color w:val="000000" w:themeColor="text1"/>
          <w:lang w:val="en-US"/>
        </w:rPr>
      </w:pPr>
      <w:r w:rsidRPr="00D21FB9">
        <w:rPr>
          <w:color w:val="EE0000"/>
        </w:rPr>
        <w:t xml:space="preserve">These findings demonstrate that </w:t>
      </w:r>
      <w:r w:rsidR="00D21FB9" w:rsidRPr="00D21FB9">
        <w:rPr>
          <w:color w:val="EE0000"/>
        </w:rPr>
        <w:t xml:space="preserve">a </w:t>
      </w:r>
      <w:r w:rsidRPr="00D21FB9">
        <w:rPr>
          <w:color w:val="EE0000"/>
        </w:rPr>
        <w:t xml:space="preserve">3 PFU/cell </w:t>
      </w:r>
      <w:r w:rsidR="00D21FB9" w:rsidRPr="00D21FB9">
        <w:rPr>
          <w:color w:val="EE0000"/>
        </w:rPr>
        <w:t xml:space="preserve">MOI </w:t>
      </w:r>
      <w:r w:rsidRPr="00D21FB9">
        <w:rPr>
          <w:color w:val="EE0000"/>
        </w:rPr>
        <w:t xml:space="preserve">is suitable for loading primary human monocytes with oHSV-1-mCherry and that these cells, like THP-1 cells, can effectively deliver their payload to GBM spheroids, exerting potent oncolytic activity. </w:t>
      </w:r>
      <w:r w:rsidR="0065250A" w:rsidRPr="00D21FB9">
        <w:rPr>
          <w:lang w:val="en-US"/>
        </w:rPr>
        <w:t>T</w:t>
      </w:r>
      <w:r w:rsidR="0065250A" w:rsidRPr="003A42F1">
        <w:rPr>
          <w:color w:val="000000" w:themeColor="text1"/>
          <w:lang w:val="en-US"/>
        </w:rPr>
        <w:t>he</w:t>
      </w:r>
      <w:r w:rsidR="0065250A" w:rsidRPr="007526EC">
        <w:rPr>
          <w:color w:val="000000" w:themeColor="text1"/>
          <w:lang w:val="en-US"/>
        </w:rPr>
        <w:t xml:space="preserve"> ability of oHSV-1-loaded primary monocytes to cross the BBB and transmit viral infection to U87 GBM spheroids was further assessed using the BBB-on-chip model.</w:t>
      </w:r>
      <w:r w:rsidR="00C71874" w:rsidRPr="007526EC">
        <w:rPr>
          <w:color w:val="000000" w:themeColor="text1"/>
          <w:lang w:val="en-US"/>
        </w:rPr>
        <w:t xml:space="preserve"> </w:t>
      </w:r>
      <w:r w:rsidR="00BD5288" w:rsidRPr="007526EC">
        <w:rPr>
          <w:rStyle w:val="Strong"/>
          <w:color w:val="000000" w:themeColor="text1"/>
          <w:lang w:val="en-US"/>
        </w:rPr>
        <w:t>Figure 4.A</w:t>
      </w:r>
      <w:r w:rsidR="00BD5288" w:rsidRPr="007526EC">
        <w:rPr>
          <w:color w:val="000000" w:themeColor="text1"/>
          <w:lang w:val="en-US"/>
        </w:rPr>
        <w:t xml:space="preserve"> shows the </w:t>
      </w:r>
      <w:r w:rsidR="00B6549A" w:rsidRPr="007526EC">
        <w:rPr>
          <w:color w:val="000000" w:themeColor="text1"/>
          <w:lang w:val="en-US"/>
        </w:rPr>
        <w:t xml:space="preserve">effects on the BBB </w:t>
      </w:r>
      <w:r w:rsidR="00BD5288" w:rsidRPr="007526EC">
        <w:rPr>
          <w:color w:val="000000" w:themeColor="text1"/>
          <w:lang w:val="en-US"/>
        </w:rPr>
        <w:t>of</w:t>
      </w:r>
      <w:r w:rsidR="00B6549A" w:rsidRPr="007526EC">
        <w:rPr>
          <w:color w:val="000000" w:themeColor="text1"/>
          <w:lang w:val="en-US"/>
        </w:rPr>
        <w:t xml:space="preserve"> </w:t>
      </w:r>
      <w:r w:rsidR="00BD5288" w:rsidRPr="007526EC">
        <w:rPr>
          <w:color w:val="000000" w:themeColor="text1"/>
          <w:lang w:val="en-US"/>
        </w:rPr>
        <w:t xml:space="preserve">oHSV-1, </w:t>
      </w:r>
      <w:r w:rsidR="007F3EF8" w:rsidRPr="007526EC">
        <w:rPr>
          <w:color w:val="000000" w:themeColor="text1"/>
          <w:lang w:val="en-US"/>
        </w:rPr>
        <w:t>both</w:t>
      </w:r>
      <w:r w:rsidR="00BD5288" w:rsidRPr="007526EC">
        <w:rPr>
          <w:color w:val="000000" w:themeColor="text1"/>
          <w:lang w:val="en-US"/>
        </w:rPr>
        <w:t xml:space="preserve"> free </w:t>
      </w:r>
      <w:r w:rsidR="007F3EF8" w:rsidRPr="007526EC">
        <w:rPr>
          <w:color w:val="000000" w:themeColor="text1"/>
          <w:lang w:val="en-US"/>
        </w:rPr>
        <w:t>and</w:t>
      </w:r>
      <w:r w:rsidR="00BD5288" w:rsidRPr="007526EC">
        <w:rPr>
          <w:color w:val="000000" w:themeColor="text1"/>
          <w:lang w:val="en-US"/>
        </w:rPr>
        <w:t xml:space="preserve"> carried by human primary monocytes, </w:t>
      </w:r>
      <w:r w:rsidR="00B6549A" w:rsidRPr="007526EC">
        <w:rPr>
          <w:color w:val="000000" w:themeColor="text1"/>
          <w:lang w:val="en-US"/>
        </w:rPr>
        <w:t xml:space="preserve">perfused for </w:t>
      </w:r>
      <w:r w:rsidR="007F3EF8" w:rsidRPr="007526EC">
        <w:rPr>
          <w:color w:val="000000" w:themeColor="text1"/>
          <w:lang w:val="en-US"/>
        </w:rPr>
        <w:t>48 hours from the blood side of the device.</w:t>
      </w:r>
      <w:r w:rsidR="00BD5288" w:rsidRPr="007526EC">
        <w:rPr>
          <w:color w:val="000000" w:themeColor="text1"/>
          <w:lang w:val="en-US"/>
        </w:rPr>
        <w:t xml:space="preserve"> In the negative control (top row), red fluorescence is </w:t>
      </w:r>
      <w:r w:rsidR="00B6549A" w:rsidRPr="007526EC">
        <w:rPr>
          <w:color w:val="000000" w:themeColor="text1"/>
          <w:lang w:val="en-US"/>
        </w:rPr>
        <w:t>absent,</w:t>
      </w:r>
      <w:r w:rsidR="00BD5288" w:rsidRPr="007526EC">
        <w:rPr>
          <w:color w:val="000000" w:themeColor="text1"/>
          <w:lang w:val="en-US"/>
        </w:rPr>
        <w:t xml:space="preserve"> and BBB </w:t>
      </w:r>
      <w:r w:rsidR="00B6549A" w:rsidRPr="007526EC">
        <w:rPr>
          <w:color w:val="000000" w:themeColor="text1"/>
          <w:lang w:val="en-US"/>
        </w:rPr>
        <w:t>architecture remains intact</w:t>
      </w:r>
      <w:r w:rsidR="00BD5288" w:rsidRPr="007526EC">
        <w:rPr>
          <w:color w:val="000000" w:themeColor="text1"/>
          <w:lang w:val="en-US"/>
        </w:rPr>
        <w:t xml:space="preserve">. When oHSV-1 is delivered via primary monocytes (middle row), only low levels of red fluorescence are detected, indicating </w:t>
      </w:r>
      <w:r w:rsidR="00B6549A" w:rsidRPr="007526EC">
        <w:rPr>
          <w:color w:val="000000" w:themeColor="text1"/>
          <w:lang w:val="en-US"/>
        </w:rPr>
        <w:t>minimal</w:t>
      </w:r>
      <w:r w:rsidR="00BD5288" w:rsidRPr="007526EC">
        <w:rPr>
          <w:color w:val="000000" w:themeColor="text1"/>
          <w:lang w:val="en-US"/>
        </w:rPr>
        <w:t xml:space="preserve"> interaction </w:t>
      </w:r>
      <w:r w:rsidR="00B6549A" w:rsidRPr="007526EC">
        <w:rPr>
          <w:color w:val="000000" w:themeColor="text1"/>
          <w:lang w:val="en-US"/>
        </w:rPr>
        <w:t>with BBB-associated cells and preservation of barrier integrity</w:t>
      </w:r>
      <w:r w:rsidR="00BD5288" w:rsidRPr="007526EC">
        <w:rPr>
          <w:color w:val="000000" w:themeColor="text1"/>
          <w:lang w:val="en-US"/>
        </w:rPr>
        <w:t xml:space="preserve">. In contrast, perfusion with free oHSV-1 (bottom row) results in </w:t>
      </w:r>
      <w:r w:rsidR="00B6549A" w:rsidRPr="007526EC">
        <w:rPr>
          <w:color w:val="000000" w:themeColor="text1"/>
          <w:lang w:val="en-US"/>
        </w:rPr>
        <w:t>intense</w:t>
      </w:r>
      <w:r w:rsidR="00BD5288" w:rsidRPr="007526EC">
        <w:rPr>
          <w:color w:val="000000" w:themeColor="text1"/>
          <w:lang w:val="en-US"/>
        </w:rPr>
        <w:t xml:space="preserve"> red fluorescence </w:t>
      </w:r>
      <w:r w:rsidR="00B6549A" w:rsidRPr="007526EC">
        <w:rPr>
          <w:color w:val="000000" w:themeColor="text1"/>
          <w:lang w:val="en-US"/>
        </w:rPr>
        <w:t>throughout</w:t>
      </w:r>
      <w:r w:rsidR="00BD5288" w:rsidRPr="007526EC">
        <w:rPr>
          <w:color w:val="000000" w:themeColor="text1"/>
          <w:lang w:val="en-US"/>
        </w:rPr>
        <w:t xml:space="preserve"> the </w:t>
      </w:r>
      <w:r w:rsidR="00BD5288" w:rsidRPr="007526EC">
        <w:rPr>
          <w:color w:val="000000" w:themeColor="text1"/>
          <w:lang w:val="en-US"/>
        </w:rPr>
        <w:lastRenderedPageBreak/>
        <w:t xml:space="preserve">BBB region, consistent with </w:t>
      </w:r>
      <w:r w:rsidR="00B6549A" w:rsidRPr="007526EC">
        <w:rPr>
          <w:color w:val="000000" w:themeColor="text1"/>
          <w:lang w:val="en-US"/>
        </w:rPr>
        <w:t>widespread</w:t>
      </w:r>
      <w:r w:rsidR="00BD5288" w:rsidRPr="007526EC">
        <w:rPr>
          <w:color w:val="000000" w:themeColor="text1"/>
          <w:lang w:val="en-US"/>
        </w:rPr>
        <w:t xml:space="preserve"> infection and potential barrier </w:t>
      </w:r>
      <w:r w:rsidR="00B6549A" w:rsidRPr="007526EC">
        <w:rPr>
          <w:color w:val="000000" w:themeColor="text1"/>
          <w:lang w:val="en-US"/>
        </w:rPr>
        <w:t>disruption</w:t>
      </w:r>
      <w:r w:rsidR="00BD5288" w:rsidRPr="007526EC">
        <w:rPr>
          <w:color w:val="000000" w:themeColor="text1"/>
          <w:lang w:val="en-US"/>
        </w:rPr>
        <w:t xml:space="preserve">. These </w:t>
      </w:r>
      <w:r w:rsidR="00B6549A" w:rsidRPr="007526EC">
        <w:rPr>
          <w:color w:val="000000" w:themeColor="text1"/>
          <w:lang w:val="en-US"/>
        </w:rPr>
        <w:t>data</w:t>
      </w:r>
      <w:r w:rsidR="00BD5288" w:rsidRPr="007526EC">
        <w:rPr>
          <w:color w:val="000000" w:themeColor="text1"/>
          <w:lang w:val="en-US"/>
        </w:rPr>
        <w:t xml:space="preserve"> suggest that monocyte-mediated delivery significantly </w:t>
      </w:r>
      <w:r w:rsidR="00B6549A" w:rsidRPr="007526EC">
        <w:rPr>
          <w:color w:val="000000" w:themeColor="text1"/>
          <w:lang w:val="en-US"/>
        </w:rPr>
        <w:t>limits</w:t>
      </w:r>
      <w:r w:rsidR="00BD5288" w:rsidRPr="007526EC">
        <w:rPr>
          <w:color w:val="000000" w:themeColor="text1"/>
          <w:lang w:val="en-US"/>
        </w:rPr>
        <w:t xml:space="preserve"> direct viral exposure to the BBB, although a minimal </w:t>
      </w:r>
      <w:r w:rsidR="0083648D" w:rsidRPr="007526EC">
        <w:rPr>
          <w:color w:val="000000" w:themeColor="text1"/>
          <w:lang w:val="en-US"/>
        </w:rPr>
        <w:t>leakage or interaction cannot be completely excluded.</w:t>
      </w:r>
    </w:p>
    <w:p w14:paraId="1D0C6BB8" w14:textId="5D26854F" w:rsidR="00B738AD" w:rsidRPr="007526EC" w:rsidRDefault="00B738AD" w:rsidP="001F4C35">
      <w:pPr>
        <w:pBdr>
          <w:top w:val="nil"/>
          <w:left w:val="nil"/>
          <w:bottom w:val="nil"/>
          <w:right w:val="nil"/>
          <w:between w:val="nil"/>
        </w:pBdr>
        <w:spacing w:line="276" w:lineRule="auto"/>
        <w:jc w:val="both"/>
        <w:rPr>
          <w:color w:val="000000" w:themeColor="text1"/>
          <w:lang w:val="en-US"/>
        </w:rPr>
      </w:pPr>
      <w:r w:rsidRPr="007526EC">
        <w:rPr>
          <w:noProof/>
          <w:color w:val="000000" w:themeColor="text1"/>
          <w:highlight w:val="yellow"/>
          <w:lang w:val="en-US" w:eastAsia="en-US"/>
        </w:rPr>
        <w:drawing>
          <wp:anchor distT="0" distB="0" distL="114300" distR="114300" simplePos="0" relativeHeight="251671552" behindDoc="0" locked="0" layoutInCell="1" allowOverlap="1" wp14:anchorId="4697CB59" wp14:editId="31CAD1AD">
            <wp:simplePos x="0" y="0"/>
            <wp:positionH relativeFrom="column">
              <wp:posOffset>232410</wp:posOffset>
            </wp:positionH>
            <wp:positionV relativeFrom="paragraph">
              <wp:posOffset>2520950</wp:posOffset>
            </wp:positionV>
            <wp:extent cx="5670550" cy="5042535"/>
            <wp:effectExtent l="0" t="0" r="635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11"/>
                    <a:stretch/>
                  </pic:blipFill>
                  <pic:spPr bwMode="auto">
                    <a:xfrm>
                      <a:off x="0" y="0"/>
                      <a:ext cx="5670550" cy="5042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6FF6" w:rsidRPr="007526EC">
        <w:rPr>
          <w:color w:val="000000" w:themeColor="text1"/>
          <w:lang w:val="en-US"/>
        </w:rPr>
        <w:t>Migration of human primary monocytes through the BBB was evident</w:t>
      </w:r>
      <w:r w:rsidR="00C71874" w:rsidRPr="007526EC">
        <w:rPr>
          <w:color w:val="000000" w:themeColor="text1"/>
          <w:lang w:val="en-US"/>
        </w:rPr>
        <w:t xml:space="preserve"> as early as 24 hours </w:t>
      </w:r>
      <w:r w:rsidR="00226FF6" w:rsidRPr="007526EC">
        <w:rPr>
          <w:color w:val="000000" w:themeColor="text1"/>
          <w:lang w:val="en-US"/>
        </w:rPr>
        <w:t>post-</w:t>
      </w:r>
      <w:r w:rsidR="00C71874" w:rsidRPr="007526EC">
        <w:rPr>
          <w:color w:val="000000" w:themeColor="text1"/>
          <w:lang w:val="en-US"/>
        </w:rPr>
        <w:t>perfusion</w:t>
      </w:r>
      <w:r w:rsidR="00226FF6" w:rsidRPr="007526EC">
        <w:rPr>
          <w:color w:val="000000" w:themeColor="text1"/>
          <w:lang w:val="en-US"/>
        </w:rPr>
        <w:t>, with g</w:t>
      </w:r>
      <w:r w:rsidR="00C71874" w:rsidRPr="007526EC">
        <w:rPr>
          <w:color w:val="000000" w:themeColor="text1"/>
          <w:lang w:val="en-US"/>
        </w:rPr>
        <w:t>reen</w:t>
      </w:r>
      <w:r w:rsidR="00226FF6" w:rsidRPr="007526EC">
        <w:rPr>
          <w:color w:val="000000" w:themeColor="text1"/>
          <w:lang w:val="en-US"/>
        </w:rPr>
        <w:t>-labeled</w:t>
      </w:r>
      <w:r w:rsidR="00C71874" w:rsidRPr="007526EC">
        <w:rPr>
          <w:color w:val="000000" w:themeColor="text1"/>
          <w:lang w:val="en-US"/>
        </w:rPr>
        <w:t xml:space="preserve"> cells detected in the bottom layer of the BBB, </w:t>
      </w:r>
      <w:r w:rsidR="00226FF6" w:rsidRPr="007526EC">
        <w:rPr>
          <w:color w:val="000000" w:themeColor="text1"/>
          <w:lang w:val="en-US"/>
        </w:rPr>
        <w:t xml:space="preserve">in the </w:t>
      </w:r>
      <w:r w:rsidR="00C71874" w:rsidRPr="007526EC">
        <w:rPr>
          <w:color w:val="000000" w:themeColor="text1"/>
          <w:lang w:val="en-US"/>
        </w:rPr>
        <w:t>connecting channels, and in the microwells containing U87 GBM spheroids (</w:t>
      </w:r>
      <w:r w:rsidR="00C71874" w:rsidRPr="007526EC">
        <w:rPr>
          <w:b/>
          <w:color w:val="000000" w:themeColor="text1"/>
          <w:lang w:val="en-US"/>
        </w:rPr>
        <w:t>Figure 4.</w:t>
      </w:r>
      <w:r w:rsidR="00026463" w:rsidRPr="007526EC">
        <w:rPr>
          <w:b/>
          <w:color w:val="000000" w:themeColor="text1"/>
          <w:lang w:val="en-US"/>
        </w:rPr>
        <w:t>B</w:t>
      </w:r>
      <w:r w:rsidR="00C71874" w:rsidRPr="007526EC">
        <w:rPr>
          <w:color w:val="000000" w:themeColor="text1"/>
          <w:lang w:val="en-US"/>
        </w:rPr>
        <w:t xml:space="preserve">). </w:t>
      </w:r>
      <w:r w:rsidR="00226FF6" w:rsidRPr="007526EC">
        <w:rPr>
          <w:color w:val="000000" w:themeColor="text1"/>
          <w:lang w:val="en-US"/>
        </w:rPr>
        <w:t xml:space="preserve">The presence of tumor spheroids enhanced </w:t>
      </w:r>
      <w:r w:rsidR="00857C8D" w:rsidRPr="007526EC">
        <w:rPr>
          <w:color w:val="000000" w:themeColor="text1"/>
          <w:lang w:val="en-US"/>
        </w:rPr>
        <w:t>m</w:t>
      </w:r>
      <w:r w:rsidR="00C71874" w:rsidRPr="007526EC">
        <w:rPr>
          <w:color w:val="000000" w:themeColor="text1"/>
          <w:lang w:val="en-US"/>
        </w:rPr>
        <w:t xml:space="preserve">onocyte </w:t>
      </w:r>
      <w:r w:rsidR="00857C8D" w:rsidRPr="007526EC">
        <w:rPr>
          <w:color w:val="000000" w:themeColor="text1"/>
          <w:lang w:val="en-US"/>
        </w:rPr>
        <w:t>recruiting</w:t>
      </w:r>
      <w:r w:rsidR="00C71874" w:rsidRPr="007526EC">
        <w:rPr>
          <w:color w:val="000000" w:themeColor="text1"/>
          <w:lang w:val="en-US"/>
        </w:rPr>
        <w:t xml:space="preserve">, </w:t>
      </w:r>
      <w:r w:rsidR="00857C8D" w:rsidRPr="007526EC">
        <w:rPr>
          <w:color w:val="000000" w:themeColor="text1"/>
          <w:lang w:val="en-US"/>
        </w:rPr>
        <w:t xml:space="preserve">indicating a chemotactic </w:t>
      </w:r>
      <w:r w:rsidR="00C71874" w:rsidRPr="007526EC">
        <w:rPr>
          <w:color w:val="000000" w:themeColor="text1"/>
          <w:lang w:val="en-US"/>
        </w:rPr>
        <w:t>interplay between GBM cells, monocytes, and the BBB</w:t>
      </w:r>
      <w:r w:rsidR="00857C8D" w:rsidRPr="007526EC">
        <w:rPr>
          <w:color w:val="000000" w:themeColor="text1"/>
          <w:lang w:val="en-US"/>
        </w:rPr>
        <w:t>, possibly contributing to localized</w:t>
      </w:r>
      <w:r w:rsidR="00C71874" w:rsidRPr="007526EC">
        <w:rPr>
          <w:color w:val="000000" w:themeColor="text1"/>
          <w:lang w:val="en-US"/>
        </w:rPr>
        <w:t xml:space="preserve"> </w:t>
      </w:r>
      <w:r w:rsidR="00857C8D" w:rsidRPr="007526EC">
        <w:rPr>
          <w:color w:val="000000" w:themeColor="text1"/>
          <w:lang w:val="en-US"/>
        </w:rPr>
        <w:t xml:space="preserve">permeability </w:t>
      </w:r>
      <w:r w:rsidR="00C71874" w:rsidRPr="007526EC">
        <w:rPr>
          <w:color w:val="000000" w:themeColor="text1"/>
          <w:lang w:val="en-US"/>
        </w:rPr>
        <w:t>increase</w:t>
      </w:r>
      <w:r w:rsidR="00857C8D" w:rsidRPr="007526EC">
        <w:rPr>
          <w:color w:val="000000" w:themeColor="text1"/>
          <w:lang w:val="en-US"/>
        </w:rPr>
        <w:t>s and</w:t>
      </w:r>
      <w:r w:rsidR="00C71874" w:rsidRPr="007526EC">
        <w:rPr>
          <w:color w:val="000000" w:themeColor="text1"/>
          <w:lang w:val="en-US"/>
        </w:rPr>
        <w:t xml:space="preserve"> immune cell </w:t>
      </w:r>
      <w:r w:rsidR="00857C8D" w:rsidRPr="007526EC">
        <w:rPr>
          <w:color w:val="000000" w:themeColor="text1"/>
          <w:lang w:val="en-US"/>
        </w:rPr>
        <w:t>homing</w:t>
      </w:r>
      <w:r w:rsidR="00C71874" w:rsidRPr="007526EC">
        <w:rPr>
          <w:color w:val="000000" w:themeColor="text1"/>
          <w:lang w:val="en-US"/>
        </w:rPr>
        <w:t xml:space="preserve"> </w:t>
      </w:r>
      <w:r w:rsidR="00857C8D" w:rsidRPr="007526EC">
        <w:rPr>
          <w:color w:val="000000" w:themeColor="text1"/>
          <w:lang w:val="en-US"/>
        </w:rPr>
        <w:t>to the tumor site</w:t>
      </w:r>
      <w:r w:rsidR="00C71874" w:rsidRPr="007526EC">
        <w:rPr>
          <w:color w:val="000000" w:themeColor="text1"/>
          <w:lang w:val="en-US"/>
        </w:rPr>
        <w:t xml:space="preserve">. </w:t>
      </w:r>
      <w:r w:rsidR="00287DBE" w:rsidRPr="007526EC">
        <w:rPr>
          <w:color w:val="000000" w:themeColor="text1"/>
          <w:lang w:val="en-US"/>
        </w:rPr>
        <w:t>By</w:t>
      </w:r>
      <w:r w:rsidR="00C71874" w:rsidRPr="007526EC">
        <w:rPr>
          <w:color w:val="000000" w:themeColor="text1"/>
          <w:lang w:val="en-US"/>
        </w:rPr>
        <w:t xml:space="preserve"> 48 hours (</w:t>
      </w:r>
      <w:r w:rsidR="00C71874" w:rsidRPr="007526EC">
        <w:rPr>
          <w:b/>
          <w:color w:val="000000" w:themeColor="text1"/>
          <w:lang w:val="en-US"/>
        </w:rPr>
        <w:t>Figure 4.</w:t>
      </w:r>
      <w:r w:rsidR="00026463" w:rsidRPr="007526EC">
        <w:rPr>
          <w:b/>
          <w:color w:val="000000" w:themeColor="text1"/>
          <w:lang w:val="en-US"/>
        </w:rPr>
        <w:t>A</w:t>
      </w:r>
      <w:r w:rsidR="00C71874" w:rsidRPr="007526EC">
        <w:rPr>
          <w:color w:val="000000" w:themeColor="text1"/>
          <w:lang w:val="en-US"/>
        </w:rPr>
        <w:t xml:space="preserve">), monocytes </w:t>
      </w:r>
      <w:r w:rsidR="00287DBE" w:rsidRPr="007526EC">
        <w:rPr>
          <w:color w:val="000000" w:themeColor="text1"/>
          <w:lang w:val="en-US"/>
        </w:rPr>
        <w:t>were found</w:t>
      </w:r>
      <w:r w:rsidR="00C71874" w:rsidRPr="007526EC">
        <w:rPr>
          <w:color w:val="000000" w:themeColor="text1"/>
          <w:lang w:val="en-US"/>
        </w:rPr>
        <w:t xml:space="preserve"> adjacent to </w:t>
      </w:r>
      <w:r w:rsidR="00287DBE" w:rsidRPr="007526EC">
        <w:rPr>
          <w:color w:val="000000" w:themeColor="text1"/>
          <w:lang w:val="en-US"/>
        </w:rPr>
        <w:t>or infiltrating</w:t>
      </w:r>
      <w:r w:rsidR="00C71874" w:rsidRPr="007526EC">
        <w:rPr>
          <w:color w:val="000000" w:themeColor="text1"/>
          <w:lang w:val="en-US"/>
        </w:rPr>
        <w:t xml:space="preserve"> GBM spheroids</w:t>
      </w:r>
      <w:r w:rsidR="00287DBE" w:rsidRPr="007526EC">
        <w:rPr>
          <w:color w:val="000000" w:themeColor="text1"/>
          <w:lang w:val="en-US"/>
        </w:rPr>
        <w:t>,</w:t>
      </w:r>
      <w:r w:rsidR="00287DBE" w:rsidRPr="007526EC">
        <w:rPr>
          <w:color w:val="000000" w:themeColor="text1"/>
        </w:rPr>
        <w:t xml:space="preserve"> </w:t>
      </w:r>
      <w:r w:rsidR="00287DBE" w:rsidRPr="007526EC">
        <w:rPr>
          <w:color w:val="000000" w:themeColor="text1"/>
          <w:lang w:val="en-US"/>
        </w:rPr>
        <w:t>and red fluorescence from oHSV-1-mCherry replication became apparent.</w:t>
      </w:r>
      <w:r w:rsidR="00C71874" w:rsidRPr="007526EC">
        <w:rPr>
          <w:color w:val="000000" w:themeColor="text1"/>
          <w:lang w:val="en-US"/>
        </w:rPr>
        <w:t xml:space="preserve"> By day 5, red fluoresce</w:t>
      </w:r>
      <w:r w:rsidR="00D904DB" w:rsidRPr="007526EC">
        <w:rPr>
          <w:color w:val="000000" w:themeColor="text1"/>
          <w:lang w:val="en-US"/>
        </w:rPr>
        <w:t>nce</w:t>
      </w:r>
      <w:r w:rsidR="00C71874" w:rsidRPr="007526EC">
        <w:rPr>
          <w:color w:val="000000" w:themeColor="text1"/>
          <w:lang w:val="en-US"/>
        </w:rPr>
        <w:t xml:space="preserve"> spread throughout the </w:t>
      </w:r>
      <w:r w:rsidR="00D904DB" w:rsidRPr="007526EC">
        <w:rPr>
          <w:color w:val="000000" w:themeColor="text1"/>
          <w:lang w:val="en-US"/>
        </w:rPr>
        <w:t>tumor</w:t>
      </w:r>
      <w:r w:rsidR="00C71874" w:rsidRPr="007526EC">
        <w:rPr>
          <w:color w:val="000000" w:themeColor="text1"/>
          <w:lang w:val="en-US"/>
        </w:rPr>
        <w:t xml:space="preserve"> spheroids </w:t>
      </w:r>
      <w:r w:rsidR="00C71874" w:rsidRPr="007526EC">
        <w:rPr>
          <w:b/>
          <w:color w:val="000000" w:themeColor="text1"/>
          <w:lang w:val="en-US"/>
        </w:rPr>
        <w:t>(Figure 4.B</w:t>
      </w:r>
      <w:r w:rsidR="00C71874" w:rsidRPr="007526EC">
        <w:rPr>
          <w:color w:val="000000" w:themeColor="text1"/>
          <w:lang w:val="en-US"/>
        </w:rPr>
        <w:t xml:space="preserve">), </w:t>
      </w:r>
      <w:r w:rsidR="00D904DB" w:rsidRPr="007526EC">
        <w:rPr>
          <w:color w:val="000000" w:themeColor="text1"/>
          <w:lang w:val="en-US"/>
        </w:rPr>
        <w:t>confirming successful delivery and transmission of viral infection by monocytes</w:t>
      </w:r>
      <w:r w:rsidRPr="007526EC">
        <w:rPr>
          <w:color w:val="000000" w:themeColor="text1"/>
          <w:lang w:val="en-US"/>
        </w:rPr>
        <w:t xml:space="preserve">. Notably, spheroids displayed compromised morphology and lost their typical round, compact structure, with detaching infected cells visible, likely </w:t>
      </w:r>
      <w:r w:rsidR="001A61FD" w:rsidRPr="007526EC">
        <w:rPr>
          <w:color w:val="000000" w:themeColor="text1"/>
          <w:lang w:val="en-US"/>
        </w:rPr>
        <w:t>because of</w:t>
      </w:r>
      <w:r w:rsidRPr="007526EC">
        <w:rPr>
          <w:color w:val="000000" w:themeColor="text1"/>
          <w:lang w:val="en-US"/>
        </w:rPr>
        <w:t xml:space="preserve"> viral cytopathic effects. These findings support the capacity of monocyte-mediated oHSV-1 delivery to reach and kill GBM cells within the BBB-on-chip model.</w:t>
      </w:r>
    </w:p>
    <w:p w14:paraId="4A5AF420" w14:textId="0B659628" w:rsidR="00991447" w:rsidRPr="007526EC" w:rsidRDefault="00C71874" w:rsidP="001F4C35">
      <w:pPr>
        <w:widowControl w:val="0"/>
        <w:pBdr>
          <w:top w:val="nil"/>
          <w:left w:val="nil"/>
          <w:bottom w:val="nil"/>
          <w:right w:val="nil"/>
          <w:between w:val="nil"/>
        </w:pBdr>
        <w:spacing w:line="276" w:lineRule="auto"/>
        <w:jc w:val="both"/>
        <w:rPr>
          <w:color w:val="000000" w:themeColor="text1"/>
          <w:sz w:val="20"/>
          <w:szCs w:val="20"/>
          <w:lang w:val="en-US"/>
        </w:rPr>
      </w:pPr>
      <w:r w:rsidRPr="007526EC">
        <w:rPr>
          <w:b/>
          <w:i/>
          <w:color w:val="000000" w:themeColor="text1"/>
          <w:sz w:val="20"/>
          <w:szCs w:val="20"/>
          <w:lang w:val="en-US"/>
        </w:rPr>
        <w:t>Figure 4</w:t>
      </w:r>
      <w:r w:rsidRPr="007526EC">
        <w:rPr>
          <w:b/>
          <w:color w:val="000000" w:themeColor="text1"/>
          <w:sz w:val="20"/>
          <w:szCs w:val="20"/>
          <w:lang w:val="en-US"/>
        </w:rPr>
        <w:t xml:space="preserve">. oHSV-1-loaded human primary monocytes cross the BBB-on-chip and deliver their viral cargo to GBM tumor spheroids. </w:t>
      </w:r>
      <w:r w:rsidR="001C0FA6" w:rsidRPr="007526EC">
        <w:rPr>
          <w:b/>
          <w:color w:val="000000" w:themeColor="text1"/>
          <w:sz w:val="20"/>
          <w:szCs w:val="20"/>
          <w:lang w:val="en-US"/>
        </w:rPr>
        <w:t>A.</w:t>
      </w:r>
      <w:r w:rsidR="001C0FA6" w:rsidRPr="007526EC">
        <w:rPr>
          <w:color w:val="000000" w:themeColor="text1"/>
          <w:sz w:val="20"/>
          <w:szCs w:val="20"/>
          <w:lang w:val="en-US"/>
        </w:rPr>
        <w:t xml:space="preserve"> Representative</w:t>
      </w:r>
      <w:r w:rsidR="001A61FD" w:rsidRPr="007526EC">
        <w:rPr>
          <w:color w:val="000000" w:themeColor="text1"/>
          <w:sz w:val="20"/>
          <w:szCs w:val="20"/>
          <w:lang w:val="en-US"/>
        </w:rPr>
        <w:t xml:space="preserve"> </w:t>
      </w:r>
      <w:r w:rsidR="001C0FA6" w:rsidRPr="007526EC">
        <w:rPr>
          <w:color w:val="000000" w:themeColor="text1"/>
          <w:sz w:val="20"/>
          <w:szCs w:val="20"/>
          <w:lang w:val="en-US"/>
        </w:rPr>
        <w:t xml:space="preserve">images of the BBB after 48 hours of perfusion with: </w:t>
      </w:r>
      <w:proofErr w:type="spellStart"/>
      <w:r w:rsidR="001C0FA6" w:rsidRPr="007526EC">
        <w:rPr>
          <w:i/>
          <w:iCs/>
          <w:color w:val="000000" w:themeColor="text1"/>
          <w:sz w:val="20"/>
          <w:szCs w:val="20"/>
          <w:lang w:val="en-US"/>
        </w:rPr>
        <w:t>i</w:t>
      </w:r>
      <w:proofErr w:type="spellEnd"/>
      <w:r w:rsidR="001C0FA6" w:rsidRPr="007526EC">
        <w:rPr>
          <w:i/>
          <w:iCs/>
          <w:color w:val="000000" w:themeColor="text1"/>
          <w:sz w:val="20"/>
          <w:szCs w:val="20"/>
          <w:lang w:val="en-US"/>
        </w:rPr>
        <w:t>.</w:t>
      </w:r>
      <w:r w:rsidR="001C0FA6" w:rsidRPr="007526EC">
        <w:rPr>
          <w:color w:val="000000" w:themeColor="text1"/>
          <w:sz w:val="20"/>
          <w:szCs w:val="20"/>
          <w:lang w:val="en-US"/>
        </w:rPr>
        <w:t xml:space="preserve"> cell culture medium (negative control), </w:t>
      </w:r>
      <w:r w:rsidR="001C0FA6" w:rsidRPr="007526EC">
        <w:rPr>
          <w:i/>
          <w:iCs/>
          <w:color w:val="000000" w:themeColor="text1"/>
          <w:sz w:val="20"/>
          <w:szCs w:val="20"/>
          <w:lang w:val="en-US"/>
        </w:rPr>
        <w:t>ii.</w:t>
      </w:r>
      <w:r w:rsidR="001C0FA6" w:rsidRPr="007526EC">
        <w:rPr>
          <w:color w:val="000000" w:themeColor="text1"/>
          <w:sz w:val="20"/>
          <w:szCs w:val="20"/>
          <w:lang w:val="en-US"/>
        </w:rPr>
        <w:t xml:space="preserve"> </w:t>
      </w:r>
      <w:r w:rsidR="00F24283" w:rsidRPr="007526EC">
        <w:rPr>
          <w:color w:val="000000" w:themeColor="text1"/>
          <w:sz w:val="20"/>
          <w:szCs w:val="20"/>
          <w:lang w:val="en-US"/>
        </w:rPr>
        <w:t>h</w:t>
      </w:r>
      <w:r w:rsidR="001C0FA6" w:rsidRPr="007526EC">
        <w:rPr>
          <w:color w:val="000000" w:themeColor="text1"/>
          <w:sz w:val="20"/>
          <w:szCs w:val="20"/>
          <w:lang w:val="en-US"/>
        </w:rPr>
        <w:t xml:space="preserve">uman primary monocytes infected with oHSV-1-mCherry, and </w:t>
      </w:r>
      <w:r w:rsidR="001C0FA6" w:rsidRPr="007526EC">
        <w:rPr>
          <w:i/>
          <w:iCs/>
          <w:color w:val="000000" w:themeColor="text1"/>
          <w:sz w:val="20"/>
          <w:szCs w:val="20"/>
          <w:lang w:val="en-US"/>
        </w:rPr>
        <w:t>iii.</w:t>
      </w:r>
      <w:r w:rsidR="001C0FA6" w:rsidRPr="007526EC">
        <w:rPr>
          <w:color w:val="000000" w:themeColor="text1"/>
          <w:sz w:val="20"/>
          <w:szCs w:val="20"/>
          <w:lang w:val="en-US"/>
        </w:rPr>
        <w:t xml:space="preserve"> free virus. </w:t>
      </w:r>
      <w:r w:rsidR="00F24283" w:rsidRPr="007526EC">
        <w:rPr>
          <w:color w:val="000000" w:themeColor="text1"/>
          <w:sz w:val="20"/>
          <w:szCs w:val="20"/>
          <w:lang w:val="en-US"/>
        </w:rPr>
        <w:t xml:space="preserve">While free virus results in strong red fluorescence throughout the barrier region, indicating widespread infection, monocyte-delivered virus shows </w:t>
      </w:r>
      <w:r w:rsidR="00F24283" w:rsidRPr="007526EC">
        <w:rPr>
          <w:color w:val="000000" w:themeColor="text1"/>
          <w:sz w:val="20"/>
          <w:szCs w:val="20"/>
          <w:lang w:val="en-US"/>
        </w:rPr>
        <w:lastRenderedPageBreak/>
        <w:t xml:space="preserve">limited red signal, consistent with preserved BBB integrity. </w:t>
      </w:r>
      <w:r w:rsidR="001C0FA6" w:rsidRPr="007526EC">
        <w:rPr>
          <w:color w:val="000000" w:themeColor="text1"/>
          <w:sz w:val="20"/>
          <w:szCs w:val="20"/>
          <w:lang w:val="en-US"/>
        </w:rPr>
        <w:t>Scale bar: 200 µm.</w:t>
      </w:r>
      <w:r w:rsidR="001C0FA6" w:rsidRPr="007526EC">
        <w:rPr>
          <w:rFonts w:ascii="Arial" w:eastAsia="Arial" w:hAnsi="Arial" w:cs="Arial"/>
          <w:color w:val="000000" w:themeColor="text1"/>
          <w:sz w:val="22"/>
          <w:szCs w:val="22"/>
          <w:lang w:val="en-US"/>
        </w:rPr>
        <w:t xml:space="preserve"> </w:t>
      </w:r>
      <w:r w:rsidR="001C0FA6" w:rsidRPr="007526EC">
        <w:rPr>
          <w:b/>
          <w:color w:val="000000" w:themeColor="text1"/>
          <w:sz w:val="20"/>
          <w:szCs w:val="20"/>
          <w:lang w:val="en-US"/>
        </w:rPr>
        <w:t>B.</w:t>
      </w:r>
      <w:r w:rsidR="001C0FA6" w:rsidRPr="007526EC">
        <w:rPr>
          <w:color w:val="000000" w:themeColor="text1"/>
          <w:sz w:val="20"/>
          <w:szCs w:val="20"/>
          <w:lang w:val="en-US"/>
        </w:rPr>
        <w:t xml:space="preserve"> After 24 hours of perfusion, oHSV-1-mCherry</w:t>
      </w:r>
      <w:r w:rsidR="003F7511" w:rsidRPr="007526EC">
        <w:rPr>
          <w:color w:val="000000" w:themeColor="text1"/>
          <w:sz w:val="20"/>
          <w:szCs w:val="20"/>
          <w:lang w:val="en-US"/>
        </w:rPr>
        <w:t xml:space="preserve">-loaded human monocytes </w:t>
      </w:r>
      <w:r w:rsidR="001C0FA6" w:rsidRPr="007526EC">
        <w:rPr>
          <w:color w:val="000000" w:themeColor="text1"/>
          <w:sz w:val="20"/>
          <w:szCs w:val="20"/>
          <w:lang w:val="en-US"/>
        </w:rPr>
        <w:t xml:space="preserve">cross the BBB and </w:t>
      </w:r>
      <w:r w:rsidR="003F7511" w:rsidRPr="007526EC">
        <w:rPr>
          <w:color w:val="000000" w:themeColor="text1"/>
          <w:sz w:val="20"/>
          <w:szCs w:val="20"/>
          <w:lang w:val="en-US"/>
        </w:rPr>
        <w:t>localize within the tumor microwells</w:t>
      </w:r>
      <w:r w:rsidR="001C0FA6" w:rsidRPr="007526EC">
        <w:rPr>
          <w:color w:val="000000" w:themeColor="text1"/>
          <w:sz w:val="20"/>
          <w:szCs w:val="20"/>
          <w:lang w:val="en-US"/>
        </w:rPr>
        <w:t xml:space="preserve">. </w:t>
      </w:r>
      <w:r w:rsidR="003F7511" w:rsidRPr="007526EC">
        <w:rPr>
          <w:color w:val="000000" w:themeColor="text1"/>
          <w:sz w:val="20"/>
          <w:szCs w:val="20"/>
          <w:lang w:val="en-US"/>
        </w:rPr>
        <w:t xml:space="preserve">At 48 hours and day 5, increasing red fluorescence within U87 GBM spheroids indicates progressive viral replication and tumor cell infection. </w:t>
      </w:r>
      <w:r w:rsidR="001C0FA6" w:rsidRPr="007526EC">
        <w:rPr>
          <w:b/>
          <w:color w:val="000000" w:themeColor="text1"/>
          <w:sz w:val="20"/>
          <w:szCs w:val="20"/>
          <w:lang w:val="en-US"/>
        </w:rPr>
        <w:t xml:space="preserve">C. </w:t>
      </w:r>
      <w:r w:rsidR="00991447" w:rsidRPr="007526EC">
        <w:rPr>
          <w:color w:val="000000" w:themeColor="text1"/>
          <w:sz w:val="20"/>
          <w:szCs w:val="20"/>
          <w:lang w:val="en-US"/>
        </w:rPr>
        <w:t xml:space="preserve">Monocyte transmigration across the BBB is enhanced in the presence of U87 GBM spheroids. Devices with tumor spheroids exhibit greater numbers of green-labeled monocytes in the microchannel and tumor compartment compared to </w:t>
      </w:r>
      <w:r w:rsidR="001124A7" w:rsidRPr="007526EC">
        <w:rPr>
          <w:noProof/>
          <w:color w:val="000000" w:themeColor="text1"/>
          <w:vertAlign w:val="superscript"/>
          <w:lang w:val="en-US" w:eastAsia="en-US"/>
        </w:rPr>
        <w:drawing>
          <wp:anchor distT="0" distB="0" distL="114300" distR="114300" simplePos="0" relativeHeight="251672576" behindDoc="0" locked="0" layoutInCell="1" allowOverlap="1" wp14:anchorId="02816D91" wp14:editId="1EE9296B">
            <wp:simplePos x="0" y="0"/>
            <wp:positionH relativeFrom="column">
              <wp:posOffset>80010</wp:posOffset>
            </wp:positionH>
            <wp:positionV relativeFrom="page">
              <wp:posOffset>1689735</wp:posOffset>
            </wp:positionV>
            <wp:extent cx="5927090" cy="4343400"/>
            <wp:effectExtent l="0" t="0" r="0" b="0"/>
            <wp:wrapTopAndBottom/>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27090" cy="4343400"/>
                    </a:xfrm>
                    <a:prstGeom prst="rect">
                      <a:avLst/>
                    </a:prstGeom>
                    <a:noFill/>
                  </pic:spPr>
                </pic:pic>
              </a:graphicData>
            </a:graphic>
          </wp:anchor>
        </w:drawing>
      </w:r>
      <w:r w:rsidR="00991447" w:rsidRPr="007526EC">
        <w:rPr>
          <w:color w:val="000000" w:themeColor="text1"/>
          <w:sz w:val="20"/>
          <w:szCs w:val="20"/>
          <w:lang w:val="en-US"/>
        </w:rPr>
        <w:t xml:space="preserve">devices lacking tumor spheroids, suggesting chemotactic recruitment from the TME. </w:t>
      </w:r>
    </w:p>
    <w:p w14:paraId="1A5AC525" w14:textId="77777777" w:rsidR="001124A7" w:rsidRPr="007526EC" w:rsidRDefault="001124A7" w:rsidP="001F4C35">
      <w:pPr>
        <w:pBdr>
          <w:top w:val="nil"/>
          <w:left w:val="nil"/>
          <w:bottom w:val="nil"/>
          <w:right w:val="nil"/>
          <w:between w:val="nil"/>
        </w:pBdr>
        <w:jc w:val="both"/>
        <w:rPr>
          <w:color w:val="000000" w:themeColor="text1"/>
          <w:sz w:val="20"/>
          <w:szCs w:val="20"/>
          <w:lang w:val="en-US"/>
        </w:rPr>
      </w:pPr>
      <w:r w:rsidRPr="007526EC">
        <w:rPr>
          <w:b/>
          <w:i/>
          <w:color w:val="000000" w:themeColor="text1"/>
          <w:sz w:val="20"/>
          <w:szCs w:val="20"/>
          <w:lang w:val="en-US"/>
        </w:rPr>
        <w:t>Figure 5.</w:t>
      </w:r>
      <w:r w:rsidRPr="007526EC">
        <w:rPr>
          <w:b/>
          <w:color w:val="000000" w:themeColor="text1"/>
          <w:sz w:val="20"/>
          <w:szCs w:val="20"/>
          <w:lang w:val="en-US"/>
        </w:rPr>
        <w:t xml:space="preserve"> Human monocytes efficiently shield their oHSV-1 cargo from neutralizing human hyperimmune gamma globulins. A.</w:t>
      </w:r>
      <w:r w:rsidRPr="007526EC">
        <w:rPr>
          <w:color w:val="000000" w:themeColor="text1"/>
          <w:sz w:val="20"/>
          <w:szCs w:val="20"/>
          <w:lang w:val="en-US"/>
        </w:rPr>
        <w:t xml:space="preserve"> Time course of GBM spheroids infected with free oHSV-1 </w:t>
      </w:r>
      <w:proofErr w:type="spellStart"/>
      <w:r w:rsidRPr="007526EC">
        <w:rPr>
          <w:color w:val="000000" w:themeColor="text1"/>
          <w:sz w:val="20"/>
          <w:szCs w:val="20"/>
          <w:lang w:val="en-US"/>
        </w:rPr>
        <w:t>mCherry</w:t>
      </w:r>
      <w:proofErr w:type="spellEnd"/>
      <w:r w:rsidRPr="007526EC">
        <w:rPr>
          <w:color w:val="000000" w:themeColor="text1"/>
          <w:sz w:val="20"/>
          <w:szCs w:val="20"/>
          <w:lang w:val="en-US"/>
        </w:rPr>
        <w:t xml:space="preserve"> (1.5x 10</w:t>
      </w:r>
      <w:r w:rsidRPr="007526EC">
        <w:rPr>
          <w:color w:val="000000" w:themeColor="text1"/>
          <w:sz w:val="20"/>
          <w:szCs w:val="20"/>
          <w:vertAlign w:val="superscript"/>
          <w:lang w:val="en-US"/>
        </w:rPr>
        <w:t>3</w:t>
      </w:r>
      <w:r w:rsidRPr="007526EC">
        <w:rPr>
          <w:color w:val="000000" w:themeColor="text1"/>
          <w:sz w:val="20"/>
          <w:szCs w:val="20"/>
          <w:lang w:val="en-US"/>
        </w:rPr>
        <w:t xml:space="preserve"> PFU/well) in static microwells with and without human hyperimmune </w:t>
      </w:r>
      <w:proofErr w:type="spellStart"/>
      <w:r w:rsidRPr="007526EC">
        <w:rPr>
          <w:color w:val="000000" w:themeColor="text1"/>
          <w:sz w:val="20"/>
          <w:szCs w:val="20"/>
          <w:lang w:val="en-US"/>
        </w:rPr>
        <w:t>IgGs</w:t>
      </w:r>
      <w:proofErr w:type="spellEnd"/>
      <w:r w:rsidRPr="007526EC">
        <w:rPr>
          <w:color w:val="000000" w:themeColor="text1"/>
          <w:sz w:val="20"/>
          <w:szCs w:val="20"/>
          <w:lang w:val="en-US"/>
        </w:rPr>
        <w:t xml:space="preserve"> (1:8 dilution). Scale bars 400 and 100 µm. </w:t>
      </w:r>
      <w:r w:rsidRPr="007526EC">
        <w:rPr>
          <w:b/>
          <w:color w:val="000000" w:themeColor="text1"/>
          <w:sz w:val="20"/>
          <w:szCs w:val="20"/>
          <w:lang w:val="en-US"/>
        </w:rPr>
        <w:t>B.</w:t>
      </w:r>
      <w:r w:rsidRPr="007526EC">
        <w:rPr>
          <w:color w:val="000000" w:themeColor="text1"/>
          <w:sz w:val="20"/>
          <w:szCs w:val="20"/>
          <w:lang w:val="en-US"/>
        </w:rPr>
        <w:t xml:space="preserve"> Tumor spheroids treated with primary human monocytes infected with oHSV-1-mCherry (MOI = 3 PFU/cell, 5x 10</w:t>
      </w:r>
      <w:r w:rsidRPr="007526EC">
        <w:rPr>
          <w:color w:val="000000" w:themeColor="text1"/>
          <w:sz w:val="20"/>
          <w:szCs w:val="20"/>
          <w:vertAlign w:val="superscript"/>
          <w:lang w:val="en-US"/>
        </w:rPr>
        <w:t>3</w:t>
      </w:r>
      <w:r w:rsidRPr="007526EC">
        <w:rPr>
          <w:color w:val="000000" w:themeColor="text1"/>
          <w:sz w:val="20"/>
          <w:szCs w:val="20"/>
          <w:lang w:val="en-US"/>
        </w:rPr>
        <w:t xml:space="preserve"> cells/well) in static microwells with and without human hyperimmune </w:t>
      </w:r>
      <w:proofErr w:type="spellStart"/>
      <w:r w:rsidRPr="007526EC">
        <w:rPr>
          <w:color w:val="000000" w:themeColor="text1"/>
          <w:sz w:val="20"/>
          <w:szCs w:val="20"/>
          <w:lang w:val="en-US"/>
        </w:rPr>
        <w:t>IgGs</w:t>
      </w:r>
      <w:proofErr w:type="spellEnd"/>
      <w:r w:rsidRPr="007526EC">
        <w:rPr>
          <w:color w:val="000000" w:themeColor="text1"/>
          <w:sz w:val="20"/>
          <w:szCs w:val="20"/>
          <w:lang w:val="en-US"/>
        </w:rPr>
        <w:t xml:space="preserve"> (1:8 dilution). </w:t>
      </w:r>
      <w:r w:rsidRPr="007526EC">
        <w:rPr>
          <w:b/>
          <w:color w:val="000000" w:themeColor="text1"/>
          <w:sz w:val="20"/>
          <w:szCs w:val="20"/>
          <w:lang w:val="en-US"/>
        </w:rPr>
        <w:t>C.</w:t>
      </w:r>
      <w:r w:rsidRPr="007526EC">
        <w:rPr>
          <w:color w:val="000000" w:themeColor="text1"/>
          <w:sz w:val="20"/>
          <w:szCs w:val="20"/>
          <w:lang w:val="en-US"/>
        </w:rPr>
        <w:t xml:space="preserve"> Primary human monocytes infected with oHSV-1 </w:t>
      </w:r>
      <w:proofErr w:type="spellStart"/>
      <w:r w:rsidRPr="007526EC">
        <w:rPr>
          <w:color w:val="000000" w:themeColor="text1"/>
          <w:sz w:val="20"/>
          <w:szCs w:val="20"/>
          <w:lang w:val="en-US"/>
        </w:rPr>
        <w:t>mCherry</w:t>
      </w:r>
      <w:proofErr w:type="spellEnd"/>
      <w:r w:rsidRPr="007526EC">
        <w:rPr>
          <w:color w:val="000000" w:themeColor="text1"/>
          <w:sz w:val="20"/>
          <w:szCs w:val="20"/>
          <w:lang w:val="en-US"/>
        </w:rPr>
        <w:t xml:space="preserve"> (MOI = 3 PFU/cell, 3x10⁵ cells/chip) are perfused in the BBB-on-chip models in the presence of human hyperimmune </w:t>
      </w:r>
      <w:proofErr w:type="spellStart"/>
      <w:r w:rsidRPr="007526EC">
        <w:rPr>
          <w:color w:val="000000" w:themeColor="text1"/>
          <w:sz w:val="20"/>
          <w:szCs w:val="20"/>
          <w:lang w:val="en-US"/>
        </w:rPr>
        <w:t>IgGs</w:t>
      </w:r>
      <w:proofErr w:type="spellEnd"/>
      <w:r w:rsidRPr="007526EC">
        <w:rPr>
          <w:color w:val="000000" w:themeColor="text1"/>
          <w:sz w:val="20"/>
          <w:szCs w:val="20"/>
          <w:lang w:val="en-US"/>
        </w:rPr>
        <w:t xml:space="preserve"> (1:8 dilution) and monitored for 5 days confirming successful transmission of the infection. </w:t>
      </w:r>
      <w:r w:rsidRPr="007526EC">
        <w:rPr>
          <w:b/>
          <w:color w:val="000000" w:themeColor="text1"/>
          <w:sz w:val="20"/>
          <w:szCs w:val="20"/>
          <w:lang w:val="en-US"/>
        </w:rPr>
        <w:t>D.</w:t>
      </w:r>
      <w:r w:rsidRPr="007526EC">
        <w:rPr>
          <w:color w:val="000000" w:themeColor="text1"/>
          <w:sz w:val="20"/>
          <w:szCs w:val="20"/>
          <w:lang w:val="en-US"/>
        </w:rPr>
        <w:t xml:space="preserve"> In a similar experimental setup, free virus (9x10⁵ PFU/chip) is perfused in the BBB-on-chip in the presence of human hyperimmune </w:t>
      </w:r>
      <w:proofErr w:type="spellStart"/>
      <w:r w:rsidRPr="007526EC">
        <w:rPr>
          <w:color w:val="000000" w:themeColor="text1"/>
          <w:sz w:val="20"/>
          <w:szCs w:val="20"/>
          <w:lang w:val="en-US"/>
        </w:rPr>
        <w:t>IgGs</w:t>
      </w:r>
      <w:proofErr w:type="spellEnd"/>
      <w:r w:rsidRPr="007526EC">
        <w:rPr>
          <w:color w:val="000000" w:themeColor="text1"/>
          <w:sz w:val="20"/>
          <w:szCs w:val="20"/>
          <w:lang w:val="en-US"/>
        </w:rPr>
        <w:t xml:space="preserve"> (1:8 dilution) and monitored for 5 days confirming viral neutralization.</w:t>
      </w:r>
    </w:p>
    <w:p w14:paraId="5FC39CE3" w14:textId="77BD2591" w:rsidR="001A61FD" w:rsidRPr="007526EC" w:rsidRDefault="001A61FD" w:rsidP="001F4C35">
      <w:pPr>
        <w:pBdr>
          <w:top w:val="nil"/>
          <w:left w:val="nil"/>
          <w:bottom w:val="nil"/>
          <w:right w:val="nil"/>
          <w:between w:val="nil"/>
        </w:pBdr>
        <w:spacing w:line="276" w:lineRule="auto"/>
        <w:jc w:val="both"/>
        <w:rPr>
          <w:b/>
          <w:color w:val="000000" w:themeColor="text1"/>
          <w:lang w:val="en-US"/>
        </w:rPr>
      </w:pPr>
    </w:p>
    <w:p w14:paraId="00000044" w14:textId="749212AB" w:rsidR="00234C7D" w:rsidRPr="007526EC" w:rsidRDefault="00C71874" w:rsidP="001F4C35">
      <w:pPr>
        <w:pBdr>
          <w:top w:val="nil"/>
          <w:left w:val="nil"/>
          <w:bottom w:val="nil"/>
          <w:right w:val="nil"/>
          <w:between w:val="nil"/>
        </w:pBdr>
        <w:spacing w:before="120" w:after="80" w:line="276" w:lineRule="auto"/>
        <w:jc w:val="both"/>
        <w:rPr>
          <w:b/>
          <w:color w:val="000000" w:themeColor="text1"/>
          <w:lang w:val="en-US"/>
        </w:rPr>
      </w:pPr>
      <w:r w:rsidRPr="007526EC">
        <w:rPr>
          <w:b/>
          <w:color w:val="000000" w:themeColor="text1"/>
          <w:lang w:val="en-US"/>
        </w:rPr>
        <w:t xml:space="preserve">2.5 Human primary monocytes cross the BBB and protect oHSV-1-mCherry from antibody-mediated neutralization, </w:t>
      </w:r>
      <w:r w:rsidR="008E7914" w:rsidRPr="007526EC">
        <w:rPr>
          <w:b/>
          <w:color w:val="000000" w:themeColor="text1"/>
          <w:lang w:val="en-US"/>
        </w:rPr>
        <w:t xml:space="preserve">enabling viral </w:t>
      </w:r>
      <w:r w:rsidRPr="007526EC">
        <w:rPr>
          <w:b/>
          <w:color w:val="000000" w:themeColor="text1"/>
          <w:lang w:val="en-US"/>
        </w:rPr>
        <w:t>transmi</w:t>
      </w:r>
      <w:r w:rsidR="008E7914" w:rsidRPr="007526EC">
        <w:rPr>
          <w:b/>
          <w:color w:val="000000" w:themeColor="text1"/>
          <w:lang w:val="en-US"/>
        </w:rPr>
        <w:t>ss</w:t>
      </w:r>
      <w:r w:rsidRPr="007526EC">
        <w:rPr>
          <w:b/>
          <w:color w:val="000000" w:themeColor="text1"/>
          <w:lang w:val="en-US"/>
        </w:rPr>
        <w:t>i</w:t>
      </w:r>
      <w:r w:rsidR="008E7914" w:rsidRPr="007526EC">
        <w:rPr>
          <w:b/>
          <w:color w:val="000000" w:themeColor="text1"/>
          <w:lang w:val="en-US"/>
        </w:rPr>
        <w:t>on</w:t>
      </w:r>
      <w:r w:rsidRPr="007526EC">
        <w:rPr>
          <w:b/>
          <w:color w:val="000000" w:themeColor="text1"/>
          <w:lang w:val="en-US"/>
        </w:rPr>
        <w:t xml:space="preserve"> to GBM tumor spheroids </w:t>
      </w:r>
    </w:p>
    <w:p w14:paraId="7CB26316" w14:textId="1A415C09" w:rsidR="00F71602" w:rsidRPr="007526EC" w:rsidRDefault="008E7914" w:rsidP="001F4C35">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Systemic delivery of free OVs is frequently limited by neutralization from pre-existing host immunity, particularly in the case of agents derived from viruses with high human seroprevalence, such as</w:t>
      </w:r>
      <w:r w:rsidR="00354171" w:rsidRPr="007526EC">
        <w:rPr>
          <w:color w:val="000000" w:themeColor="text1"/>
          <w:lang w:val="en-US"/>
        </w:rPr>
        <w:t xml:space="preserve"> </w:t>
      </w:r>
      <w:r w:rsidR="00C71874" w:rsidRPr="007526EC">
        <w:rPr>
          <w:color w:val="000000" w:themeColor="text1"/>
          <w:lang w:val="en-US"/>
        </w:rPr>
        <w:t>HSV-1</w:t>
      </w:r>
      <w:r w:rsidR="00CE62B3" w:rsidRPr="007526EC">
        <w:rPr>
          <w:color w:val="000000" w:themeColor="text1"/>
          <w:lang w:val="en-US"/>
        </w:rPr>
        <w:t>.</w:t>
      </w:r>
      <w:r w:rsidR="007973CA" w:rsidRPr="007526EC">
        <w:rPr>
          <w:color w:val="000000" w:themeColor="text1"/>
          <w:lang w:val="en-US"/>
        </w:rPr>
        <w:fldChar w:fldCharType="begin" w:fldLock="1"/>
      </w:r>
      <w:r w:rsidR="004D56B1" w:rsidRPr="007526EC">
        <w:rPr>
          <w:color w:val="000000" w:themeColor="text1"/>
          <w:lang w:val="en-US"/>
        </w:rPr>
        <w:instrText>ADDIN CSL_CITATION {"citationItems":[{"id":"ITEM-1","itemData":{"DOI":"10.1093/infdis/jit458","ISSN":"1537-6613 (Electronic)","PMID":"24136792","abstract":"BACKGROUND: Herpes simplex virus types 1 and 2 (HSV-1 and HSV-2) are common  infections with serious sequelae. HSV-1 is an increasingly important cause of genital herpes in industrialized countries. METHODS: Using nationally representative data from the National Health and Nutrition Examination Survey (NHANES), we examined HSV-1 and HSV-2 seroprevalence among 14- to 49-year-olds in the United States. We estimated seroprevalence in 1999-2004 and 2005-2010, stratified by sociodemographic characteristics and sexual behaviors. We also reviewed HSV-1 and HSV-2 seroprevalence from 1976-1980 to 2005-2010. RESULTS: In 2005-2010, the seroprevalence of HSV-1 was 53.9%, and the seroprevalence of HSV-2 was 15.7%. From 1999-2004 to 2005-2010, HSV-1 seroprevalence declined by nearly 7% (P &lt; .01), but HSV-2 seroprevalence did not change significantly. The largest decline in HSV-1 seroprevalence from 1999-2004 to 2005-2010 was observed among adolescents aged 14-19 years, among whom seroprevalence declined by nearly 23%, from 39.0% to 30.1% (P &lt; .01). In this age group, HSV-1 seroprevalence declined &gt;29% from 1976-1980 to 2005-2010 (P &lt; .01). CONCLUSIONS: An increasing number of adolescents lack HSV-1 antibodies at sexual debut. In the absence of declines in HSV-2 infections, the prevalence of genital herpes may increase.","author":[{"dropping-particle":"","family":"Bradley","given":"Heather","non-dropping-particle":"","parse-names":false,"suffix":""},{"dropping-particle":"","family":"Markowitz","given":"Lauri E","non-dropping-particle":"","parse-names":false,"suffix":""},{"dropping-particle":"","family":"Gibson","given":"Theda","non-dropping-particle":"","parse-names":false,"suffix":""},{"dropping-particle":"","family":"McQuillan","given":"Geraldine M","non-dropping-particle":"","parse-names":false,"suffix":""}],"container-title":"The Journal of infectious diseases","id":"ITEM-1","issue":"3","issued":{"date-parts":[["2014","2"]]},"language":"eng","page":"325-333","publisher-place":"United States","title":"Seroprevalence of herpes simplex virus types 1 and 2--United States, 1999-2010.","type":"article-journal","volume":"209"},"uris":["http://www.mendeley.com/documents/?uuid=21d809f7-619d-4266-937d-24411bb7abed"]}],"mendeley":{"formattedCitation":"&lt;sup&gt;[33]&lt;/sup&gt;","plainTextFormattedCitation":"[33]","previouslyFormattedCitation":"&lt;sup&gt;[33]&lt;/sup&gt;"},"properties":{"noteIndex":0},"schema":"https://github.com/citation-style-language/schema/raw/master/csl-citation.json"}</w:instrText>
      </w:r>
      <w:r w:rsidR="007973CA" w:rsidRPr="007526EC">
        <w:rPr>
          <w:color w:val="000000" w:themeColor="text1"/>
          <w:lang w:val="en-US"/>
        </w:rPr>
        <w:fldChar w:fldCharType="separate"/>
      </w:r>
      <w:r w:rsidR="008A437C" w:rsidRPr="007526EC">
        <w:rPr>
          <w:noProof/>
          <w:color w:val="000000" w:themeColor="text1"/>
          <w:vertAlign w:val="superscript"/>
          <w:lang w:val="en-US"/>
        </w:rPr>
        <w:t>[33]</w:t>
      </w:r>
      <w:r w:rsidR="007973CA" w:rsidRPr="007526EC">
        <w:rPr>
          <w:color w:val="000000" w:themeColor="text1"/>
          <w:lang w:val="en-US"/>
        </w:rPr>
        <w:fldChar w:fldCharType="end"/>
      </w:r>
      <w:r w:rsidR="00F71602" w:rsidRPr="007526EC">
        <w:rPr>
          <w:color w:val="000000" w:themeColor="text1"/>
          <w:lang w:val="en-US"/>
        </w:rPr>
        <w:t xml:space="preserve"> </w:t>
      </w:r>
      <w:r w:rsidR="00C71874" w:rsidRPr="007526EC">
        <w:rPr>
          <w:color w:val="000000" w:themeColor="text1"/>
          <w:lang w:val="en-US"/>
        </w:rPr>
        <w:t xml:space="preserve">Carrier cells </w:t>
      </w:r>
      <w:r w:rsidR="00F71602" w:rsidRPr="007526EC">
        <w:rPr>
          <w:color w:val="000000" w:themeColor="text1"/>
          <w:lang w:val="en-US"/>
        </w:rPr>
        <w:t>can</w:t>
      </w:r>
      <w:r w:rsidR="00C71874" w:rsidRPr="007526EC">
        <w:rPr>
          <w:color w:val="000000" w:themeColor="text1"/>
          <w:lang w:val="en-US"/>
        </w:rPr>
        <w:t xml:space="preserve"> </w:t>
      </w:r>
      <w:r w:rsidR="00F71602" w:rsidRPr="007526EC">
        <w:rPr>
          <w:color w:val="000000" w:themeColor="text1"/>
          <w:lang w:val="en-US"/>
        </w:rPr>
        <w:t>protect</w:t>
      </w:r>
      <w:r w:rsidR="00C71874" w:rsidRPr="007526EC">
        <w:rPr>
          <w:color w:val="000000" w:themeColor="text1"/>
          <w:lang w:val="en-US"/>
        </w:rPr>
        <w:t xml:space="preserve"> OVs from immune </w:t>
      </w:r>
      <w:r w:rsidR="00F71602" w:rsidRPr="007526EC">
        <w:rPr>
          <w:color w:val="000000" w:themeColor="text1"/>
          <w:lang w:val="en-US"/>
        </w:rPr>
        <w:t xml:space="preserve">surveillance </w:t>
      </w:r>
      <w:r w:rsidR="00C71874" w:rsidRPr="007526EC">
        <w:rPr>
          <w:color w:val="000000" w:themeColor="text1"/>
          <w:lang w:val="en-US"/>
        </w:rPr>
        <w:t xml:space="preserve">and thereby enhance their therapeutic </w:t>
      </w:r>
      <w:r w:rsidR="00F71602" w:rsidRPr="007526EC">
        <w:rPr>
          <w:color w:val="000000" w:themeColor="text1"/>
          <w:lang w:val="en-US"/>
        </w:rPr>
        <w:t>potential</w:t>
      </w:r>
      <w:r w:rsidR="00C71874" w:rsidRPr="007526EC">
        <w:rPr>
          <w:color w:val="000000" w:themeColor="text1"/>
          <w:lang w:val="en-US"/>
        </w:rPr>
        <w:t xml:space="preserve">. To evaluate if autologous monocytes can shield oHSV-1 from antibody-mediated neutralization, we </w:t>
      </w:r>
      <w:r w:rsidR="007D1DA3" w:rsidRPr="007526EC">
        <w:rPr>
          <w:color w:val="000000" w:themeColor="text1"/>
          <w:lang w:val="en-US"/>
        </w:rPr>
        <w:t>used</w:t>
      </w:r>
      <w:r w:rsidR="00C71874" w:rsidRPr="007526EC">
        <w:rPr>
          <w:color w:val="000000" w:themeColor="text1"/>
          <w:lang w:val="en-US"/>
        </w:rPr>
        <w:t xml:space="preserve"> a human hyperimmune IgG preparation that mimics the natural immune </w:t>
      </w:r>
      <w:r w:rsidR="007D1DA3" w:rsidRPr="007526EC">
        <w:rPr>
          <w:color w:val="000000" w:themeColor="text1"/>
          <w:lang w:val="en-US"/>
        </w:rPr>
        <w:t>milieu</w:t>
      </w:r>
      <w:r w:rsidR="00C71874" w:rsidRPr="007526EC">
        <w:rPr>
          <w:color w:val="000000" w:themeColor="text1"/>
          <w:lang w:val="en-US"/>
        </w:rPr>
        <w:t xml:space="preserve"> by targeting a broad </w:t>
      </w:r>
      <w:r w:rsidR="00A51A01" w:rsidRPr="007526EC">
        <w:rPr>
          <w:color w:val="000000" w:themeColor="text1"/>
          <w:lang w:val="en-US"/>
        </w:rPr>
        <w:t>spectrum of human</w:t>
      </w:r>
      <w:r w:rsidR="00C71874" w:rsidRPr="007526EC">
        <w:rPr>
          <w:color w:val="000000" w:themeColor="text1"/>
          <w:lang w:val="en-US"/>
        </w:rPr>
        <w:t xml:space="preserve"> pathogens, including HSV-1. </w:t>
      </w:r>
      <w:r w:rsidR="00513768" w:rsidRPr="007526EC">
        <w:rPr>
          <w:color w:val="000000" w:themeColor="text1"/>
          <w:lang w:val="en-US"/>
        </w:rPr>
        <w:t>T</w:t>
      </w:r>
      <w:r w:rsidR="00C71874" w:rsidRPr="007526EC">
        <w:rPr>
          <w:color w:val="000000" w:themeColor="text1"/>
          <w:lang w:val="en-US"/>
        </w:rPr>
        <w:t>wo conditions</w:t>
      </w:r>
      <w:r w:rsidR="00513768" w:rsidRPr="007526EC">
        <w:rPr>
          <w:color w:val="000000" w:themeColor="text1"/>
          <w:lang w:val="en-US"/>
        </w:rPr>
        <w:t xml:space="preserve"> were tested</w:t>
      </w:r>
      <w:r w:rsidR="00C71874" w:rsidRPr="007526EC">
        <w:rPr>
          <w:color w:val="000000" w:themeColor="text1"/>
          <w:lang w:val="en-US"/>
        </w:rPr>
        <w:t xml:space="preserve">: a 1:4 dilution of hyperimmune IgG, </w:t>
      </w:r>
      <w:r w:rsidR="006A30C8" w:rsidRPr="007526EC">
        <w:rPr>
          <w:color w:val="000000" w:themeColor="text1"/>
          <w:lang w:val="en-US"/>
        </w:rPr>
        <w:t xml:space="preserve">which </w:t>
      </w:r>
      <w:r w:rsidR="00C71874" w:rsidRPr="007526EC">
        <w:rPr>
          <w:color w:val="000000" w:themeColor="text1"/>
          <w:lang w:val="en-US"/>
        </w:rPr>
        <w:t>fully neutraliz</w:t>
      </w:r>
      <w:r w:rsidR="006A30C8" w:rsidRPr="007526EC">
        <w:rPr>
          <w:color w:val="000000" w:themeColor="text1"/>
          <w:lang w:val="en-US"/>
        </w:rPr>
        <w:t>ed</w:t>
      </w:r>
      <w:r w:rsidR="00C71874" w:rsidRPr="007526EC">
        <w:rPr>
          <w:color w:val="000000" w:themeColor="text1"/>
          <w:lang w:val="en-US"/>
        </w:rPr>
        <w:t xml:space="preserve"> oHSV-1-mCherry in U87 </w:t>
      </w:r>
      <w:r w:rsidR="00C71874" w:rsidRPr="007526EC">
        <w:rPr>
          <w:color w:val="000000" w:themeColor="text1"/>
          <w:lang w:val="en-US"/>
        </w:rPr>
        <w:lastRenderedPageBreak/>
        <w:t xml:space="preserve">GBM cells, and a 1:8 dilution, </w:t>
      </w:r>
      <w:r w:rsidR="006A30C8" w:rsidRPr="007526EC">
        <w:rPr>
          <w:color w:val="000000" w:themeColor="text1"/>
          <w:lang w:val="en-US"/>
        </w:rPr>
        <w:t xml:space="preserve">which only </w:t>
      </w:r>
      <w:r w:rsidR="00C71874" w:rsidRPr="007526EC">
        <w:rPr>
          <w:color w:val="000000" w:themeColor="text1"/>
          <w:lang w:val="en-US"/>
        </w:rPr>
        <w:t>partially restrict</w:t>
      </w:r>
      <w:r w:rsidR="006A30C8" w:rsidRPr="007526EC">
        <w:rPr>
          <w:color w:val="000000" w:themeColor="text1"/>
          <w:lang w:val="en-US"/>
        </w:rPr>
        <w:t>ed</w:t>
      </w:r>
      <w:r w:rsidR="00C71874" w:rsidRPr="007526EC">
        <w:rPr>
          <w:color w:val="000000" w:themeColor="text1"/>
          <w:lang w:val="en-US"/>
        </w:rPr>
        <w:t xml:space="preserve"> viral spread </w:t>
      </w:r>
      <w:r w:rsidR="006A30C8" w:rsidRPr="007526EC">
        <w:rPr>
          <w:color w:val="000000" w:themeColor="text1"/>
          <w:lang w:val="en-US"/>
        </w:rPr>
        <w:t>without</w:t>
      </w:r>
      <w:r w:rsidR="00C71874" w:rsidRPr="007526EC">
        <w:rPr>
          <w:color w:val="000000" w:themeColor="text1"/>
          <w:lang w:val="en-US"/>
        </w:rPr>
        <w:t xml:space="preserve"> completely </w:t>
      </w:r>
      <w:r w:rsidR="006A30C8" w:rsidRPr="007526EC">
        <w:rPr>
          <w:color w:val="000000" w:themeColor="text1"/>
          <w:lang w:val="en-US"/>
        </w:rPr>
        <w:t>blocking</w:t>
      </w:r>
      <w:r w:rsidR="00C71874" w:rsidRPr="007526EC">
        <w:rPr>
          <w:color w:val="000000" w:themeColor="text1"/>
          <w:lang w:val="en-US"/>
        </w:rPr>
        <w:t xml:space="preserve"> replication (</w:t>
      </w:r>
      <w:r w:rsidR="00C71874" w:rsidRPr="007526EC">
        <w:rPr>
          <w:b/>
          <w:color w:val="000000" w:themeColor="text1"/>
          <w:lang w:val="en-US"/>
        </w:rPr>
        <w:t>Supplementary Figure S.4</w:t>
      </w:r>
      <w:r w:rsidR="00C71874" w:rsidRPr="007526EC">
        <w:rPr>
          <w:color w:val="000000" w:themeColor="text1"/>
          <w:lang w:val="en-US"/>
        </w:rPr>
        <w:t xml:space="preserve">). </w:t>
      </w:r>
    </w:p>
    <w:p w14:paraId="5F1BC755" w14:textId="704C5936" w:rsidR="00743D6E" w:rsidRPr="007526EC" w:rsidRDefault="00C71874" w:rsidP="001F4C35">
      <w:pPr>
        <w:pBdr>
          <w:top w:val="nil"/>
          <w:left w:val="nil"/>
          <w:bottom w:val="nil"/>
          <w:right w:val="nil"/>
          <w:between w:val="nil"/>
        </w:pBdr>
        <w:spacing w:line="276" w:lineRule="auto"/>
        <w:jc w:val="both"/>
        <w:rPr>
          <w:color w:val="000000" w:themeColor="text1"/>
          <w:lang w:val="en-US"/>
        </w:rPr>
      </w:pPr>
      <w:r w:rsidRPr="007526EC">
        <w:rPr>
          <w:b/>
          <w:color w:val="000000" w:themeColor="text1"/>
          <w:lang w:val="en-US"/>
        </w:rPr>
        <w:t>Figure 5</w:t>
      </w:r>
      <w:r w:rsidRPr="007526EC">
        <w:rPr>
          <w:color w:val="000000" w:themeColor="text1"/>
          <w:lang w:val="en-US"/>
        </w:rPr>
        <w:t xml:space="preserve"> summarizes the key findings </w:t>
      </w:r>
      <w:r w:rsidR="00743D6E" w:rsidRPr="007526EC">
        <w:rPr>
          <w:color w:val="000000" w:themeColor="text1"/>
          <w:lang w:val="en-US"/>
        </w:rPr>
        <w:t xml:space="preserve">obtained </w:t>
      </w:r>
      <w:r w:rsidRPr="007526EC">
        <w:rPr>
          <w:color w:val="000000" w:themeColor="text1"/>
          <w:lang w:val="en-US"/>
        </w:rPr>
        <w:t xml:space="preserve">from GBM spheroids under both static and BBB-on-chip </w:t>
      </w:r>
      <w:r w:rsidR="00743D6E" w:rsidRPr="007526EC">
        <w:rPr>
          <w:color w:val="000000" w:themeColor="text1"/>
          <w:lang w:val="en-US"/>
        </w:rPr>
        <w:t xml:space="preserve">culture </w:t>
      </w:r>
      <w:r w:rsidRPr="007526EC">
        <w:rPr>
          <w:color w:val="000000" w:themeColor="text1"/>
          <w:lang w:val="en-US"/>
        </w:rPr>
        <w:t xml:space="preserve">conditions. In static microwell cultures, control spheroids </w:t>
      </w:r>
      <w:r w:rsidR="00743D6E" w:rsidRPr="007526EC">
        <w:rPr>
          <w:color w:val="000000" w:themeColor="text1"/>
          <w:lang w:val="en-US"/>
        </w:rPr>
        <w:t>treated with</w:t>
      </w:r>
      <w:r w:rsidRPr="007526EC">
        <w:rPr>
          <w:color w:val="000000" w:themeColor="text1"/>
          <w:lang w:val="en-US"/>
        </w:rPr>
        <w:t xml:space="preserve"> free oHSV-1-mCherry in the absence of antibodies show</w:t>
      </w:r>
      <w:r w:rsidR="00743D6E" w:rsidRPr="007526EC">
        <w:rPr>
          <w:color w:val="000000" w:themeColor="text1"/>
          <w:lang w:val="en-US"/>
        </w:rPr>
        <w:t>ed</w:t>
      </w:r>
      <w:r w:rsidRPr="007526EC">
        <w:rPr>
          <w:color w:val="000000" w:themeColor="text1"/>
          <w:lang w:val="en-US"/>
        </w:rPr>
        <w:t xml:space="preserve"> progressive infection, with red fluorescence spreading throughout the spheroid by day 7. </w:t>
      </w:r>
      <w:r w:rsidR="006B41B3" w:rsidRPr="007526EC">
        <w:rPr>
          <w:color w:val="000000" w:themeColor="text1"/>
          <w:lang w:val="en-US"/>
        </w:rPr>
        <w:t>However</w:t>
      </w:r>
      <w:r w:rsidRPr="007526EC">
        <w:rPr>
          <w:color w:val="000000" w:themeColor="text1"/>
          <w:lang w:val="en-US"/>
        </w:rPr>
        <w:t xml:space="preserve">, </w:t>
      </w:r>
      <w:r w:rsidR="006B41B3" w:rsidRPr="007526EC">
        <w:rPr>
          <w:color w:val="000000" w:themeColor="text1"/>
          <w:lang w:val="en-US"/>
        </w:rPr>
        <w:t xml:space="preserve">in </w:t>
      </w:r>
      <w:r w:rsidRPr="007526EC">
        <w:rPr>
          <w:color w:val="000000" w:themeColor="text1"/>
          <w:lang w:val="en-US"/>
        </w:rPr>
        <w:t xml:space="preserve">the presence of hyperimmune </w:t>
      </w:r>
      <w:proofErr w:type="spellStart"/>
      <w:r w:rsidRPr="007526EC">
        <w:rPr>
          <w:color w:val="000000" w:themeColor="text1"/>
          <w:lang w:val="en-US"/>
        </w:rPr>
        <w:t>IgGs</w:t>
      </w:r>
      <w:proofErr w:type="spellEnd"/>
      <w:r w:rsidRPr="007526EC">
        <w:rPr>
          <w:color w:val="000000" w:themeColor="text1"/>
          <w:lang w:val="en-US"/>
        </w:rPr>
        <w:t xml:space="preserve"> (1:8 dilution)</w:t>
      </w:r>
      <w:r w:rsidR="006B41B3" w:rsidRPr="007526EC">
        <w:rPr>
          <w:color w:val="000000" w:themeColor="text1"/>
          <w:lang w:val="en-US"/>
        </w:rPr>
        <w:t>,</w:t>
      </w:r>
      <w:r w:rsidRPr="007526EC">
        <w:rPr>
          <w:color w:val="000000" w:themeColor="text1"/>
          <w:lang w:val="en-US"/>
        </w:rPr>
        <w:t xml:space="preserve"> viral dissemination</w:t>
      </w:r>
      <w:r w:rsidR="0030397F" w:rsidRPr="007526EC">
        <w:rPr>
          <w:color w:val="000000" w:themeColor="text1"/>
          <w:lang w:val="en-US"/>
        </w:rPr>
        <w:t xml:space="preserve"> was markedly suppressed</w:t>
      </w:r>
      <w:r w:rsidRPr="007526EC">
        <w:rPr>
          <w:color w:val="000000" w:themeColor="text1"/>
          <w:lang w:val="en-US"/>
        </w:rPr>
        <w:t xml:space="preserve">: no red </w:t>
      </w:r>
      <w:r w:rsidR="0030397F" w:rsidRPr="007526EC">
        <w:rPr>
          <w:color w:val="000000" w:themeColor="text1"/>
          <w:lang w:val="en-US"/>
        </w:rPr>
        <w:t>signal was detected until day 4</w:t>
      </w:r>
      <w:r w:rsidRPr="007526EC">
        <w:rPr>
          <w:color w:val="000000" w:themeColor="text1"/>
          <w:lang w:val="en-US"/>
        </w:rPr>
        <w:t>, and only sparse fluorescence appear</w:t>
      </w:r>
      <w:r w:rsidR="0030397F" w:rsidRPr="007526EC">
        <w:rPr>
          <w:color w:val="000000" w:themeColor="text1"/>
          <w:lang w:val="en-US"/>
        </w:rPr>
        <w:t>ed</w:t>
      </w:r>
      <w:r w:rsidRPr="007526EC">
        <w:rPr>
          <w:color w:val="000000" w:themeColor="text1"/>
          <w:lang w:val="en-US"/>
        </w:rPr>
        <w:t xml:space="preserve"> by day 7 (</w:t>
      </w:r>
      <w:r w:rsidRPr="007526EC">
        <w:rPr>
          <w:b/>
          <w:color w:val="000000" w:themeColor="text1"/>
          <w:lang w:val="en-US"/>
        </w:rPr>
        <w:t>Figure 5.A</w:t>
      </w:r>
      <w:r w:rsidRPr="007526EC">
        <w:rPr>
          <w:color w:val="000000" w:themeColor="text1"/>
          <w:lang w:val="en-US"/>
        </w:rPr>
        <w:t xml:space="preserve">). </w:t>
      </w:r>
      <w:r w:rsidR="0030397F" w:rsidRPr="007526EC">
        <w:rPr>
          <w:color w:val="000000" w:themeColor="text1"/>
          <w:lang w:val="en-US"/>
        </w:rPr>
        <w:t xml:space="preserve">In contrast, </w:t>
      </w:r>
      <w:r w:rsidRPr="007526EC">
        <w:rPr>
          <w:color w:val="000000" w:themeColor="text1"/>
          <w:lang w:val="en-US"/>
        </w:rPr>
        <w:t xml:space="preserve">spheroids treated with primary human monocytes </w:t>
      </w:r>
      <w:r w:rsidR="0030397F" w:rsidRPr="007526EC">
        <w:rPr>
          <w:color w:val="000000" w:themeColor="text1"/>
          <w:lang w:val="en-US"/>
        </w:rPr>
        <w:t>pre-</w:t>
      </w:r>
      <w:r w:rsidRPr="007526EC">
        <w:rPr>
          <w:color w:val="000000" w:themeColor="text1"/>
          <w:lang w:val="en-US"/>
        </w:rPr>
        <w:t xml:space="preserve">loaded with oHSV-1-mCherry (labeled with </w:t>
      </w:r>
      <w:proofErr w:type="spellStart"/>
      <w:r w:rsidRPr="007526EC">
        <w:rPr>
          <w:color w:val="000000" w:themeColor="text1"/>
          <w:lang w:val="en-US"/>
        </w:rPr>
        <w:t>CellTracker</w:t>
      </w:r>
      <w:proofErr w:type="spellEnd"/>
      <w:r w:rsidRPr="007526EC">
        <w:rPr>
          <w:color w:val="000000" w:themeColor="text1"/>
          <w:lang w:val="en-US"/>
        </w:rPr>
        <w:t xml:space="preserve">™ Green), </w:t>
      </w:r>
      <w:r w:rsidR="0030397F" w:rsidRPr="007526EC">
        <w:rPr>
          <w:color w:val="000000" w:themeColor="text1"/>
          <w:lang w:val="en-US"/>
        </w:rPr>
        <w:t>exhibited evident viral replication by day 4, regardless of antibody presence. I</w:t>
      </w:r>
      <w:r w:rsidRPr="007526EC">
        <w:rPr>
          <w:color w:val="000000" w:themeColor="text1"/>
          <w:lang w:val="en-US"/>
        </w:rPr>
        <w:t>nfection continue</w:t>
      </w:r>
      <w:r w:rsidR="0030397F" w:rsidRPr="007526EC">
        <w:rPr>
          <w:color w:val="000000" w:themeColor="text1"/>
          <w:lang w:val="en-US"/>
        </w:rPr>
        <w:t>d</w:t>
      </w:r>
      <w:r w:rsidRPr="007526EC">
        <w:rPr>
          <w:color w:val="000000" w:themeColor="text1"/>
          <w:lang w:val="en-US"/>
        </w:rPr>
        <w:t xml:space="preserve"> to </w:t>
      </w:r>
      <w:r w:rsidR="0030397F" w:rsidRPr="007526EC">
        <w:rPr>
          <w:color w:val="000000" w:themeColor="text1"/>
          <w:lang w:val="en-US"/>
        </w:rPr>
        <w:t>expand</w:t>
      </w:r>
      <w:r w:rsidRPr="007526EC">
        <w:rPr>
          <w:color w:val="000000" w:themeColor="text1"/>
          <w:lang w:val="en-US"/>
        </w:rPr>
        <w:t xml:space="preserve"> through day 7</w:t>
      </w:r>
      <w:r w:rsidR="0030397F" w:rsidRPr="007526EC">
        <w:rPr>
          <w:color w:val="000000" w:themeColor="text1"/>
          <w:lang w:val="en-US"/>
        </w:rPr>
        <w:t xml:space="preserve"> in both control and IgG-treated samples</w:t>
      </w:r>
      <w:r w:rsidRPr="007526EC">
        <w:rPr>
          <w:color w:val="000000" w:themeColor="text1"/>
          <w:lang w:val="en-US"/>
        </w:rPr>
        <w:t xml:space="preserve"> (</w:t>
      </w:r>
      <w:r w:rsidRPr="007526EC">
        <w:rPr>
          <w:b/>
          <w:color w:val="000000" w:themeColor="text1"/>
          <w:lang w:val="en-US"/>
        </w:rPr>
        <w:t>Figure 5.B</w:t>
      </w:r>
      <w:r w:rsidRPr="007526EC">
        <w:rPr>
          <w:color w:val="000000" w:themeColor="text1"/>
          <w:lang w:val="en-US"/>
        </w:rPr>
        <w:t xml:space="preserve">). These results </w:t>
      </w:r>
      <w:r w:rsidR="003724DA" w:rsidRPr="007526EC">
        <w:rPr>
          <w:color w:val="000000" w:themeColor="text1"/>
          <w:lang w:val="en-US"/>
        </w:rPr>
        <w:t>indicate</w:t>
      </w:r>
      <w:r w:rsidRPr="007526EC">
        <w:rPr>
          <w:color w:val="000000" w:themeColor="text1"/>
          <w:lang w:val="en-US"/>
        </w:rPr>
        <w:t xml:space="preserve"> that monocytes</w:t>
      </w:r>
      <w:r w:rsidR="003724DA" w:rsidRPr="007526EC">
        <w:rPr>
          <w:color w:val="000000" w:themeColor="text1"/>
          <w:lang w:val="en-US"/>
        </w:rPr>
        <w:t xml:space="preserve"> carriers</w:t>
      </w:r>
      <w:r w:rsidRPr="007526EC">
        <w:rPr>
          <w:color w:val="000000" w:themeColor="text1"/>
          <w:lang w:val="en-US"/>
        </w:rPr>
        <w:t xml:space="preserve"> can effectively </w:t>
      </w:r>
      <w:r w:rsidR="003724DA" w:rsidRPr="007526EC">
        <w:rPr>
          <w:color w:val="000000" w:themeColor="text1"/>
          <w:lang w:val="en-US"/>
        </w:rPr>
        <w:t>protect</w:t>
      </w:r>
      <w:r w:rsidRPr="007526EC">
        <w:rPr>
          <w:color w:val="000000" w:themeColor="text1"/>
          <w:lang w:val="en-US"/>
        </w:rPr>
        <w:t xml:space="preserve"> oHSV-1-mCherry from antibody-mediated </w:t>
      </w:r>
      <w:r w:rsidR="003724DA" w:rsidRPr="007526EC">
        <w:rPr>
          <w:color w:val="000000" w:themeColor="text1"/>
          <w:lang w:val="en-US"/>
        </w:rPr>
        <w:t xml:space="preserve">inactivation in </w:t>
      </w:r>
      <w:r w:rsidRPr="007526EC">
        <w:rPr>
          <w:color w:val="000000" w:themeColor="text1"/>
          <w:lang w:val="en-US"/>
        </w:rPr>
        <w:t xml:space="preserve">static </w:t>
      </w:r>
      <w:r w:rsidR="003724DA" w:rsidRPr="007526EC">
        <w:rPr>
          <w:color w:val="000000" w:themeColor="text1"/>
          <w:lang w:val="en-US"/>
        </w:rPr>
        <w:t>conditions</w:t>
      </w:r>
      <w:r w:rsidRPr="007526EC">
        <w:rPr>
          <w:color w:val="000000" w:themeColor="text1"/>
          <w:lang w:val="en-US"/>
        </w:rPr>
        <w:t xml:space="preserve">. </w:t>
      </w:r>
    </w:p>
    <w:p w14:paraId="4B0E90DC" w14:textId="55A6D6C1" w:rsidR="00743D6E" w:rsidRPr="007526EC" w:rsidRDefault="00177230" w:rsidP="001F4C35">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We then evaluated this mechanism in the BBB-on-chip model, in which GBM spheroids reside in microwells of the tumor compartment. Hyperimmune </w:t>
      </w:r>
      <w:proofErr w:type="spellStart"/>
      <w:r w:rsidRPr="007526EC">
        <w:rPr>
          <w:color w:val="000000" w:themeColor="text1"/>
          <w:lang w:val="en-US"/>
        </w:rPr>
        <w:t>IgGs</w:t>
      </w:r>
      <w:proofErr w:type="spellEnd"/>
      <w:r w:rsidRPr="007526EC">
        <w:rPr>
          <w:color w:val="000000" w:themeColor="text1"/>
          <w:lang w:val="en-US"/>
        </w:rPr>
        <w:t xml:space="preserve"> (1:8 dilution) were perfused alongside either free virus or oHSV-1-loaded primary human monocytes. After 48 hours of perfusion, green-labeled monocytes were detected in the apical (brain-facing) compartment of the device, confirming successful transmigration across the BBB (</w:t>
      </w:r>
      <w:r w:rsidRPr="007526EC">
        <w:rPr>
          <w:b/>
          <w:bCs/>
          <w:color w:val="000000" w:themeColor="text1"/>
          <w:lang w:val="en-US"/>
        </w:rPr>
        <w:t>Figure 5.C</w:t>
      </w:r>
      <w:r w:rsidRPr="007526EC">
        <w:rPr>
          <w:color w:val="000000" w:themeColor="text1"/>
          <w:lang w:val="en-US"/>
        </w:rPr>
        <w:t xml:space="preserve">). Red fluorescence was also observed at this time point, indicating effective viral transmission to tumor cells. In contrast, chips perfused with free oHSV-1-mCherry showed no significant red signal, confirming that the virus had been neutralized by circulating </w:t>
      </w:r>
      <w:proofErr w:type="spellStart"/>
      <w:r w:rsidRPr="007526EC">
        <w:rPr>
          <w:color w:val="000000" w:themeColor="text1"/>
          <w:lang w:val="en-US"/>
        </w:rPr>
        <w:t>IgGs</w:t>
      </w:r>
      <w:proofErr w:type="spellEnd"/>
      <w:r w:rsidRPr="007526EC">
        <w:rPr>
          <w:color w:val="000000" w:themeColor="text1"/>
          <w:lang w:val="en-US"/>
        </w:rPr>
        <w:t xml:space="preserve"> (</w:t>
      </w:r>
      <w:r w:rsidRPr="007526EC">
        <w:rPr>
          <w:b/>
          <w:bCs/>
          <w:color w:val="000000" w:themeColor="text1"/>
          <w:lang w:val="en-US"/>
        </w:rPr>
        <w:t>Figure 5.D</w:t>
      </w:r>
      <w:r w:rsidRPr="007526EC">
        <w:rPr>
          <w:color w:val="000000" w:themeColor="text1"/>
          <w:lang w:val="en-US"/>
        </w:rPr>
        <w:t>).</w:t>
      </w:r>
    </w:p>
    <w:p w14:paraId="0000004A" w14:textId="77777777" w:rsidR="00234C7D" w:rsidRPr="007526EC" w:rsidRDefault="00234C7D" w:rsidP="001F4C35">
      <w:pPr>
        <w:pBdr>
          <w:top w:val="nil"/>
          <w:left w:val="nil"/>
          <w:bottom w:val="nil"/>
          <w:right w:val="nil"/>
          <w:between w:val="nil"/>
        </w:pBdr>
        <w:spacing w:line="276" w:lineRule="auto"/>
        <w:jc w:val="both"/>
        <w:rPr>
          <w:b/>
          <w:color w:val="000000" w:themeColor="text1"/>
          <w:lang w:val="en-US"/>
        </w:rPr>
      </w:pPr>
    </w:p>
    <w:p w14:paraId="0000004B" w14:textId="77777777" w:rsidR="00234C7D" w:rsidRPr="007526EC" w:rsidRDefault="00C71874" w:rsidP="001F4C35">
      <w:pPr>
        <w:pBdr>
          <w:top w:val="nil"/>
          <w:left w:val="nil"/>
          <w:bottom w:val="nil"/>
          <w:right w:val="nil"/>
          <w:between w:val="nil"/>
        </w:pBdr>
        <w:spacing w:before="240" w:after="80" w:line="276" w:lineRule="auto"/>
        <w:jc w:val="both"/>
        <w:rPr>
          <w:b/>
          <w:color w:val="000000" w:themeColor="text1"/>
          <w:lang w:val="en-US"/>
        </w:rPr>
      </w:pPr>
      <w:r w:rsidRPr="007526EC">
        <w:rPr>
          <w:b/>
          <w:color w:val="000000" w:themeColor="text1"/>
          <w:lang w:val="en-US"/>
        </w:rPr>
        <w:t>Conclusion</w:t>
      </w:r>
    </w:p>
    <w:p w14:paraId="54EF7453" w14:textId="5C562E10" w:rsidR="000E6972" w:rsidRPr="000E6972" w:rsidRDefault="00C71874" w:rsidP="001F4C35">
      <w:pPr>
        <w:pBdr>
          <w:top w:val="nil"/>
          <w:left w:val="nil"/>
          <w:bottom w:val="nil"/>
          <w:right w:val="nil"/>
          <w:between w:val="nil"/>
        </w:pBdr>
        <w:spacing w:line="276" w:lineRule="auto"/>
        <w:jc w:val="both"/>
        <w:rPr>
          <w:color w:val="C00000"/>
          <w:lang w:val="en-US"/>
        </w:rPr>
      </w:pPr>
      <w:r w:rsidRPr="007526EC">
        <w:rPr>
          <w:color w:val="000000" w:themeColor="text1"/>
          <w:lang w:val="en-US"/>
        </w:rPr>
        <w:t xml:space="preserve">Previous studies, including our own, have shown that monocytes are </w:t>
      </w:r>
      <w:r w:rsidR="00ED2DE5" w:rsidRPr="007526EC">
        <w:rPr>
          <w:color w:val="000000" w:themeColor="text1"/>
          <w:lang w:val="en-US"/>
        </w:rPr>
        <w:t xml:space="preserve">susceptible but </w:t>
      </w:r>
      <w:r w:rsidRPr="007526EC">
        <w:rPr>
          <w:color w:val="000000" w:themeColor="text1"/>
          <w:lang w:val="en-US"/>
        </w:rPr>
        <w:t>not fully permissive to HSV-1 replication.</w:t>
      </w:r>
      <w:r w:rsidR="007973CA" w:rsidRPr="007526EC">
        <w:rPr>
          <w:color w:val="000000" w:themeColor="text1"/>
          <w:lang w:val="en-US"/>
        </w:rPr>
        <w:fldChar w:fldCharType="begin" w:fldLock="1"/>
      </w:r>
      <w:r w:rsidR="004D56B1" w:rsidRPr="007526EC">
        <w:rPr>
          <w:color w:val="000000" w:themeColor="text1"/>
          <w:lang w:val="en-US"/>
        </w:rPr>
        <w:instrText>ADDIN CSL_CITATION {"citationItems":[{"id":"ITEM-1","itemData":{"DOI":"10.1099/0022-1317-52-2-381","ISSN":"0022-1317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virology","id":"ITEM-1","issue":"Pt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infection.","type":"article-journal","volume":"52"},"uris":["http://www.mendeley.com/documents/?uuid=51410e74-aae2-4a21-8fe4-964bba8b1778"]},{"id":"ITEM-2","itemData":{"DOI":"10.3390/ijms24119255","ISSN":"1422-0067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sciences","id":"ITEM-2","issue":"11","issued":{"date-parts":[["2023","5"]]},"language":"eng","publisher-place":"Switzerland","title":"Human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[16,34]&lt;/sup&gt;","plainTextFormattedCitation":"[16,34]","previouslyFormattedCitation":"&lt;sup&gt;[16,34]&lt;/sup&gt;"},"properties":{"noteIndex":0},"schema":"https://github.com/citation-style-language/schema/raw/master/csl-citation.json"}</w:instrText>
      </w:r>
      <w:r w:rsidR="007973CA" w:rsidRPr="007526EC">
        <w:rPr>
          <w:color w:val="000000" w:themeColor="text1"/>
          <w:lang w:val="en-US"/>
        </w:rPr>
        <w:fldChar w:fldCharType="separate"/>
      </w:r>
      <w:r w:rsidR="008A437C" w:rsidRPr="007526EC">
        <w:rPr>
          <w:noProof/>
          <w:color w:val="000000" w:themeColor="text1"/>
          <w:vertAlign w:val="superscript"/>
          <w:lang w:val="en-US"/>
        </w:rPr>
        <w:t>[16,34]</w:t>
      </w:r>
      <w:r w:rsidR="007973CA" w:rsidRPr="007526EC">
        <w:rPr>
          <w:color w:val="000000" w:themeColor="text1"/>
          <w:lang w:val="en-US"/>
        </w:rPr>
        <w:fldChar w:fldCharType="end"/>
      </w:r>
      <w:r w:rsidRPr="007526EC">
        <w:rPr>
          <w:color w:val="000000" w:themeColor="text1"/>
          <w:lang w:val="en-US"/>
        </w:rPr>
        <w:t xml:space="preserve"> </w:t>
      </w:r>
      <w:r w:rsidR="00F67B28" w:rsidRPr="007526EC">
        <w:rPr>
          <w:color w:val="000000" w:themeColor="text1"/>
          <w:lang w:val="en-US"/>
        </w:rPr>
        <w:t>Nevertheless</w:t>
      </w:r>
      <w:r w:rsidRPr="007526EC">
        <w:rPr>
          <w:color w:val="000000" w:themeColor="text1"/>
          <w:lang w:val="en-US"/>
        </w:rPr>
        <w:t xml:space="preserve">, we demonstrated in </w:t>
      </w:r>
      <w:proofErr w:type="spellStart"/>
      <w:r w:rsidRPr="007526EC">
        <w:rPr>
          <w:color w:val="000000" w:themeColor="text1"/>
          <w:lang w:val="en-US"/>
        </w:rPr>
        <w:t>transwell</w:t>
      </w:r>
      <w:proofErr w:type="spellEnd"/>
      <w:r w:rsidRPr="007526EC">
        <w:rPr>
          <w:color w:val="000000" w:themeColor="text1"/>
          <w:lang w:val="en-US"/>
        </w:rPr>
        <w:t xml:space="preserve">-based systems that </w:t>
      </w:r>
      <w:r w:rsidR="00F67B28" w:rsidRPr="007526EC">
        <w:rPr>
          <w:color w:val="000000" w:themeColor="text1"/>
          <w:lang w:val="en-US"/>
        </w:rPr>
        <w:t>oHSV-1-</w:t>
      </w:r>
      <w:r w:rsidRPr="007526EC">
        <w:rPr>
          <w:color w:val="000000" w:themeColor="text1"/>
          <w:lang w:val="en-US"/>
        </w:rPr>
        <w:t xml:space="preserve">infected </w:t>
      </w:r>
      <w:r w:rsidR="00F67B28" w:rsidRPr="007526EC">
        <w:rPr>
          <w:color w:val="000000" w:themeColor="text1"/>
          <w:lang w:val="en-US"/>
        </w:rPr>
        <w:t xml:space="preserve">monocytes </w:t>
      </w:r>
      <w:r w:rsidRPr="007526EC">
        <w:rPr>
          <w:color w:val="000000" w:themeColor="text1"/>
          <w:lang w:val="en-US"/>
        </w:rPr>
        <w:t>retain the</w:t>
      </w:r>
      <w:r w:rsidR="00F67B28" w:rsidRPr="007526EC">
        <w:rPr>
          <w:color w:val="000000" w:themeColor="text1"/>
          <w:lang w:val="en-US"/>
        </w:rPr>
        <w:t>ir</w:t>
      </w:r>
      <w:r w:rsidRPr="007526EC">
        <w:rPr>
          <w:color w:val="000000" w:themeColor="text1"/>
          <w:lang w:val="en-US"/>
        </w:rPr>
        <w:t xml:space="preserve"> ability to migrate toward tumor cells, where viral replication </w:t>
      </w:r>
      <w:r w:rsidR="00F67B28" w:rsidRPr="007526EC">
        <w:rPr>
          <w:color w:val="000000" w:themeColor="text1"/>
          <w:lang w:val="en-US"/>
        </w:rPr>
        <w:t>is reactivated and leads to effective oncolysis</w:t>
      </w:r>
      <w:r w:rsidRPr="007526EC">
        <w:rPr>
          <w:color w:val="000000" w:themeColor="text1"/>
          <w:lang w:val="en-US"/>
        </w:rPr>
        <w:t xml:space="preserve">. </w:t>
      </w:r>
      <w:r w:rsidR="00F67B28" w:rsidRPr="007526EC">
        <w:rPr>
          <w:color w:val="000000" w:themeColor="text1"/>
          <w:lang w:val="en-US"/>
        </w:rPr>
        <w:t xml:space="preserve">Similar results were observed </w:t>
      </w:r>
      <w:r w:rsidR="00F67B28" w:rsidRPr="007526EC">
        <w:rPr>
          <w:i/>
          <w:color w:val="000000" w:themeColor="text1"/>
          <w:lang w:val="en-US"/>
        </w:rPr>
        <w:t>in vivo</w:t>
      </w:r>
      <w:r w:rsidR="00F67B28" w:rsidRPr="007526EC">
        <w:rPr>
          <w:color w:val="000000" w:themeColor="text1"/>
          <w:lang w:val="en-US"/>
        </w:rPr>
        <w:t xml:space="preserve"> using the </w:t>
      </w:r>
      <w:proofErr w:type="spellStart"/>
      <w:r w:rsidR="00F67B28" w:rsidRPr="007526EC">
        <w:rPr>
          <w:color w:val="000000" w:themeColor="text1"/>
          <w:lang w:val="en-US"/>
        </w:rPr>
        <w:t>chorioallantoic</w:t>
      </w:r>
      <w:proofErr w:type="spellEnd"/>
      <w:r w:rsidR="00F67B28" w:rsidRPr="007526EC">
        <w:rPr>
          <w:color w:val="000000" w:themeColor="text1"/>
          <w:lang w:val="en-US"/>
        </w:rPr>
        <w:t xml:space="preserve"> membrane (CAM) </w:t>
      </w:r>
      <w:r w:rsidRPr="007526EC">
        <w:rPr>
          <w:color w:val="000000" w:themeColor="text1"/>
          <w:lang w:val="en-US"/>
        </w:rPr>
        <w:t>model.</w:t>
      </w:r>
      <w:r w:rsidR="007973CA" w:rsidRPr="007526EC">
        <w:rPr>
          <w:color w:val="000000" w:themeColor="text1"/>
          <w:lang w:val="en-US"/>
        </w:rPr>
        <w:fldChar w:fldCharType="begin" w:fldLock="1"/>
      </w:r>
      <w:r w:rsidR="007973CA" w:rsidRPr="007526EC">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7973CA" w:rsidRPr="007526EC">
        <w:rPr>
          <w:color w:val="000000" w:themeColor="text1"/>
          <w:lang w:val="en-US"/>
        </w:rPr>
        <w:fldChar w:fldCharType="separate"/>
      </w:r>
      <w:r w:rsidR="007973CA" w:rsidRPr="007526EC">
        <w:rPr>
          <w:noProof/>
          <w:color w:val="000000" w:themeColor="text1"/>
          <w:vertAlign w:val="superscript"/>
          <w:lang w:val="en-US"/>
        </w:rPr>
        <w:t>[16]</w:t>
      </w:r>
      <w:r w:rsidR="007973CA" w:rsidRPr="007526EC">
        <w:rPr>
          <w:color w:val="000000" w:themeColor="text1"/>
          <w:lang w:val="en-US"/>
        </w:rPr>
        <w:fldChar w:fldCharType="end"/>
      </w:r>
    </w:p>
    <w:p w14:paraId="49AC19B3" w14:textId="0766003D" w:rsidR="000E6972" w:rsidRPr="00850EC4" w:rsidRDefault="00C71874" w:rsidP="001F4C35">
      <w:pPr>
        <w:pBdr>
          <w:top w:val="nil"/>
          <w:left w:val="nil"/>
          <w:bottom w:val="nil"/>
          <w:right w:val="nil"/>
          <w:between w:val="nil"/>
        </w:pBdr>
        <w:spacing w:line="276" w:lineRule="auto"/>
        <w:jc w:val="both"/>
        <w:rPr>
          <w:color w:val="EE0000"/>
          <w:lang w:val="en-US"/>
        </w:rPr>
      </w:pPr>
      <w:r w:rsidRPr="007526EC">
        <w:rPr>
          <w:color w:val="000000" w:themeColor="text1"/>
          <w:lang w:val="en-US"/>
        </w:rPr>
        <w:t xml:space="preserve">In this study, we </w:t>
      </w:r>
      <w:r w:rsidR="00B218DE" w:rsidRPr="007526EC">
        <w:rPr>
          <w:color w:val="000000" w:themeColor="text1"/>
          <w:lang w:val="en-US"/>
        </w:rPr>
        <w:t>extended</w:t>
      </w:r>
      <w:r w:rsidRPr="007526EC">
        <w:rPr>
          <w:color w:val="000000" w:themeColor="text1"/>
          <w:lang w:val="en-US"/>
        </w:rPr>
        <w:t xml:space="preserve"> these findings by developing and </w:t>
      </w:r>
      <w:r w:rsidR="000E6972">
        <w:rPr>
          <w:color w:val="000000" w:themeColor="text1"/>
          <w:lang w:val="en-US"/>
        </w:rPr>
        <w:t>using</w:t>
      </w:r>
      <w:r w:rsidRPr="007526EC">
        <w:rPr>
          <w:color w:val="000000" w:themeColor="text1"/>
          <w:lang w:val="en-US"/>
        </w:rPr>
        <w:t xml:space="preserve"> a dynamic, physiologically relevant BBB-on-chip platform </w:t>
      </w:r>
      <w:r w:rsidR="000E6972" w:rsidRPr="000E6972">
        <w:rPr>
          <w:color w:val="EE0000"/>
          <w:lang w:val="en-US"/>
        </w:rPr>
        <w:t xml:space="preserve">designed </w:t>
      </w:r>
      <w:r w:rsidRPr="007526EC">
        <w:rPr>
          <w:color w:val="000000" w:themeColor="text1"/>
          <w:lang w:val="en-US"/>
        </w:rPr>
        <w:t xml:space="preserve">to investigate </w:t>
      </w:r>
      <w:r w:rsidR="00B218DE" w:rsidRPr="007526EC">
        <w:rPr>
          <w:color w:val="000000" w:themeColor="text1"/>
          <w:lang w:val="en-US"/>
        </w:rPr>
        <w:t xml:space="preserve">the </w:t>
      </w:r>
      <w:r w:rsidRPr="007526EC">
        <w:rPr>
          <w:color w:val="000000" w:themeColor="text1"/>
          <w:lang w:val="en-US"/>
        </w:rPr>
        <w:t xml:space="preserve">interactions among monocytes, oncolytic viruses (OVs), and the blood–brain barrier (BBB). </w:t>
      </w:r>
      <w:r w:rsidR="000E6972" w:rsidRPr="000E6972">
        <w:rPr>
          <w:color w:val="EE0000"/>
          <w:lang w:val="en-US"/>
        </w:rPr>
        <w:t xml:space="preserve">Among </w:t>
      </w:r>
      <w:r w:rsidR="000E6972">
        <w:rPr>
          <w:color w:val="EE0000"/>
          <w:lang w:val="en-US"/>
        </w:rPr>
        <w:t xml:space="preserve">complex </w:t>
      </w:r>
      <w:r w:rsidR="000E6972" w:rsidRPr="000E6972">
        <w:rPr>
          <w:color w:val="EE0000"/>
          <w:lang w:val="en-US"/>
        </w:rPr>
        <w:t>existing</w:t>
      </w:r>
      <w:r w:rsidR="00EC34A6" w:rsidRPr="000E6972">
        <w:rPr>
          <w:color w:val="EE0000"/>
          <w:lang w:val="en-US"/>
        </w:rPr>
        <w:t xml:space="preserve"> </w:t>
      </w:r>
      <w:r w:rsidR="00EC34A6" w:rsidRPr="007526EC">
        <w:rPr>
          <w:color w:val="000000" w:themeColor="text1"/>
          <w:lang w:val="en-US"/>
        </w:rPr>
        <w:t xml:space="preserve">BBB-on-chip </w:t>
      </w:r>
      <w:r w:rsidR="00B82C37" w:rsidRPr="007526EC">
        <w:rPr>
          <w:color w:val="000000" w:themeColor="text1"/>
          <w:lang w:val="en-US"/>
        </w:rPr>
        <w:t>systems</w:t>
      </w:r>
      <w:r w:rsidR="00EC34A6" w:rsidRPr="007526EC">
        <w:rPr>
          <w:color w:val="000000" w:themeColor="text1"/>
          <w:lang w:val="en-US"/>
        </w:rPr>
        <w:t xml:space="preserve"> </w:t>
      </w:r>
      <w:r w:rsidR="00764FA2" w:rsidRPr="007526EC">
        <w:rPr>
          <w:color w:val="000000" w:themeColor="text1"/>
          <w:lang w:val="en-US"/>
        </w:rPr>
        <w:fldChar w:fldCharType="begin" w:fldLock="1"/>
      </w:r>
      <w:r w:rsidR="004D56B1" w:rsidRPr="007526EC">
        <w:rPr>
          <w:color w:val="000000" w:themeColor="text1"/>
          <w:lang w:val="en-US"/>
        </w:rPr>
        <w:instrText>ADDIN CSL_CITATION {"citationItems":[{"id":"ITEM-1","itemData":{"DOI":"https://doi.org/10.1016/j.ooc.2023.100027","ISSN":"2666-1020","abstract":"As a natural dynamic barrier separating blood from brain parenchyma, the blood–brain barrier (BBB) is mainly composed of brain microvascular endothelial cells (BMECs), pericytes, astrocytes, and a variety of neurons. The BBB regulates the highly selective transport of various substances between the brain and blood and maintains the stability of the central nervous system (CNS). Owing to this tight control, the BBB represents a formidable challenge for the delivery of drugs and other exogenous compounds into the CNS, which has bottlenecked the development of many drugs for CNS diseases. Therefore, efficient and precise in vitro models of the BBB are needed to assess the efficacy and toxicity of drugs targeting the CNS to inform drug design and to improve the success rate of agents that enter clinical evaluation. In vitro BBB models have rapidly advanced from the early two-dimensional (2D) static models to the current three-dimensional (3D) dynamic microfluidic chips. Although the commonly used, static, in vitro BBB models are simple to construct and TEER values are convenient to detect, the static models do not provide an ideal (i.e., accurate) BBB environment, since they lack the correct physiological size/scale and hemodynamic shear stress, both of which play substantial roles in promoting and maintaining EC differentiation into a specific BBB phenotype. Compared with traditional static models, 3D microfluidic models thus enable cells to react in a manner more closely resembling in vivo behavior by simulating a microenvironment with more natural signal transduction. As a result, the dynamic 3D BBB model can more accurately recapitulate the structure and function of the human BBB. Here we summarize the recent progress in in vitro microfluidic BBB chips and their research applications as well as discuss the prospects and challenges for where the technology is headed.","author":[{"dropping-particle":"","family":"Li","given":"Mengmeng","non-dropping-particle":"","parse-names":false,"suffix":""},{"dropping-particle":"","family":"Zhu","given":"Mingyang","non-dropping-particle":"","parse-names":false,"suffix":""},{"dropping-particle":"","family":"Huang","given":"Ruolan","non-dropping-particle":"","parse-names":false,"suffix":""},{"dropping-particle":"","family":"Wang","given":"Kun","non-dropping-particle":"","parse-names":false,"suffix":""},{"dropping-particle":"","family":"Zeng","given":"Zhilong","non-dropping-particle":"","parse-names":false,"suffix":""},{"dropping-particle":"","family":"Xiao","given":"Lu","non-dropping-particle":"","parse-names":false,"suffix":""},{"dropping-particle":"","family":"Lin","given":"Yi","non-dropping-particle":"","parse-names":false,"suffix":""},{"dropping-particle":"","family":"Liu","given":"Dan","non-dropping-particle":"","parse-names":false,"suffix":""}],"container-title":"Organs-on-a-Chip","id":"ITEM-1","issued":{"date-parts":[["2023"]]},"page":"100027","title":"Blood–brain barrier microfluidic chips and their applications","type":"article-journal","volume":"5"},"uris":["http://www.mendeley.com/documents/?uuid=fa8a9a15-0e64-4f60-af72-17b920151148"]},{"id":"ITEM-2","itemData":{"DOI":"10.1038/s41596-021-00635-w","ISBN":"4159602100635","ISSN":"17502799","PMID":"34997242","abstract":"The blood–brain barrier (BBB) greatly restricts the entry of biological and engineered therapeutic molecules into the brain. Due to challenges in translating results from animal models to the clinic, relevant in vitro human BBB models are needed to assess pathophysiological molecular transport mechanisms and enable the design of targeted therapies for neurological disorders. This protocol describes an in vitro model of the human BBB self-assembled within microfluidic devices from stem-cell-derived or primary brain endothelial cells, and primary brain pericytes and astrocytes. This protocol requires 1.5 d for device fabrication, 7 d for device culture and up to 5 d for downstream imaging, protein and gene expression analyses. Methodologies to measure the permeability of any molecule in the BBB model, which take 30 min per device, are also included. Compared with standard 2D assays, the BBB model features relevant cellular organization and morphological characteristics, as well as values of molecular permeability within the range expected in vivo. These properties, coupled with a functional brain endothelial expression profile and the capability to easily test several repeats with low reagent consumption, make this BBB model highly suitable for widespread use in academic and industrial laboratories.","author":[{"dropping-particle":"","family":"Hajal","given":"Cynthia","non-dropping-particle":"","parse-names":false,"suffix":""},{"dropping-particle":"","family":"Offeddu","given":"Giovanni S.","non-dropping-particle":"","parse-names":false,"suffix":""},{"dropping-particle":"","family":"Shin","given":"Yoojin","non-dropping-particle":"","parse-names":false,"suffix":""},{"dropping-particle":"","family":"Zhang","given":"Shun","non-dropping-particle":"","parse-names":false,"suffix":""},{"dropping-particle":"","family":"Morozova","given":"Olga","non-dropping-particle":"","parse-names":false,"suffix":""},{"dropping-particle":"","family":"Hickman","given":"Dean","non-dropping-particle":"","parse-names":false,"suffix":""},{"dropping-particle":"","family":"Knutson","given":"Charles G.","non-dropping-particle":"","parse-names":false,"suffix":""},{"dropping-particle":"","family":"Kamm","given":"Roger D.","non-dropping-particle":"","parse-names":false,"suffix":""}],"container-title":"Nature Protocols","id":"ITEM-2","issue":"1","issued":{"date-parts":[["2022"]]},"number-of-pages":"95-128","publisher":"Springer US","title":"Engineered human blood–brain barrier microfluidic model for vascular permeability analyses","type":"book","volume":"17"},"uris":["http://www.mendeley.com/documents/?uuid=e80f24e4-0267-455b-8c2d-cdbce2bccced"]}],"mendeley":{"formattedCitation":"&lt;sup&gt;[35,36]&lt;/sup&gt;","plainTextFormattedCitation":"[35,36]","previouslyFormattedCitation":"&lt;sup&gt;[35,36]&lt;/sup&gt;"},"properties":{"noteIndex":0},"schema":"https://github.com/citation-style-language/schema/raw/master/csl-citation.json"}</w:instrText>
      </w:r>
      <w:r w:rsidR="00764FA2" w:rsidRPr="007526EC">
        <w:rPr>
          <w:color w:val="000000" w:themeColor="text1"/>
          <w:lang w:val="en-US"/>
        </w:rPr>
        <w:fldChar w:fldCharType="separate"/>
      </w:r>
      <w:r w:rsidR="008A437C" w:rsidRPr="007526EC">
        <w:rPr>
          <w:noProof/>
          <w:color w:val="000000" w:themeColor="text1"/>
          <w:vertAlign w:val="superscript"/>
          <w:lang w:val="en-US"/>
        </w:rPr>
        <w:t>[35,36]</w:t>
      </w:r>
      <w:r w:rsidR="00764FA2" w:rsidRPr="007526EC">
        <w:rPr>
          <w:color w:val="000000" w:themeColor="text1"/>
          <w:lang w:val="en-US"/>
        </w:rPr>
        <w:fldChar w:fldCharType="end"/>
      </w:r>
      <w:r w:rsidR="00B82C37" w:rsidRPr="007526EC">
        <w:rPr>
          <w:color w:val="000000" w:themeColor="text1"/>
          <w:lang w:val="en-US"/>
        </w:rPr>
        <w:t xml:space="preserve">, our model </w:t>
      </w:r>
      <w:r w:rsidR="000E6972" w:rsidRPr="000E6972">
        <w:rPr>
          <w:color w:val="EE0000"/>
          <w:lang w:val="en-US"/>
        </w:rPr>
        <w:t>provides</w:t>
      </w:r>
      <w:r w:rsidR="00B82C37" w:rsidRPr="000E6972">
        <w:rPr>
          <w:color w:val="EE0000"/>
          <w:lang w:val="en-US"/>
        </w:rPr>
        <w:t xml:space="preserve"> </w:t>
      </w:r>
      <w:r w:rsidR="00B82C37" w:rsidRPr="007526EC">
        <w:rPr>
          <w:color w:val="000000" w:themeColor="text1"/>
          <w:lang w:val="en-US"/>
        </w:rPr>
        <w:t xml:space="preserve">a </w:t>
      </w:r>
      <w:r w:rsidR="000E6972" w:rsidRPr="000E6972">
        <w:rPr>
          <w:color w:val="EE0000"/>
          <w:lang w:val="en-US"/>
        </w:rPr>
        <w:t>practical</w:t>
      </w:r>
      <w:r w:rsidR="00B82C37" w:rsidRPr="000E6972">
        <w:rPr>
          <w:color w:val="EE0000"/>
          <w:lang w:val="en-US"/>
        </w:rPr>
        <w:t xml:space="preserve"> </w:t>
      </w:r>
      <w:r w:rsidR="00B82C37" w:rsidRPr="007526EC">
        <w:rPr>
          <w:color w:val="000000" w:themeColor="text1"/>
          <w:lang w:val="en-US"/>
        </w:rPr>
        <w:t xml:space="preserve">balance </w:t>
      </w:r>
      <w:r w:rsidR="000E6972" w:rsidRPr="000E6972">
        <w:rPr>
          <w:color w:val="EE0000"/>
          <w:lang w:val="en-US"/>
        </w:rPr>
        <w:t>between</w:t>
      </w:r>
      <w:r w:rsidR="00B82C37" w:rsidRPr="000E6972">
        <w:rPr>
          <w:color w:val="EE0000"/>
          <w:lang w:val="en-US"/>
        </w:rPr>
        <w:t xml:space="preserve"> </w:t>
      </w:r>
      <w:r w:rsidR="00B82C37" w:rsidRPr="007526EC">
        <w:rPr>
          <w:color w:val="000000" w:themeColor="text1"/>
          <w:lang w:val="en-US"/>
        </w:rPr>
        <w:t>simplicity</w:t>
      </w:r>
      <w:r w:rsidR="000E6972">
        <w:rPr>
          <w:color w:val="000000" w:themeColor="text1"/>
          <w:lang w:val="en-US"/>
        </w:rPr>
        <w:t xml:space="preserve"> and</w:t>
      </w:r>
      <w:r w:rsidR="00B82C37" w:rsidRPr="007526EC">
        <w:rPr>
          <w:color w:val="000000" w:themeColor="text1"/>
          <w:lang w:val="en-US"/>
        </w:rPr>
        <w:t xml:space="preserve"> functionality</w:t>
      </w:r>
      <w:r w:rsidR="000E6972">
        <w:rPr>
          <w:color w:val="000000" w:themeColor="text1"/>
          <w:lang w:val="en-US"/>
        </w:rPr>
        <w:t>,</w:t>
      </w:r>
      <w:r w:rsidR="00EC34A6" w:rsidRPr="007526EC">
        <w:rPr>
          <w:color w:val="000000" w:themeColor="text1"/>
          <w:lang w:val="en-US"/>
        </w:rPr>
        <w:t xml:space="preserve"> </w:t>
      </w:r>
      <w:r w:rsidR="000E6972" w:rsidRPr="000E6972">
        <w:rPr>
          <w:color w:val="EE0000"/>
          <w:lang w:val="en-US"/>
        </w:rPr>
        <w:t xml:space="preserve">enabling </w:t>
      </w:r>
      <w:r w:rsidR="00EC34A6" w:rsidRPr="007526EC">
        <w:rPr>
          <w:color w:val="000000" w:themeColor="text1"/>
          <w:lang w:val="en-US"/>
        </w:rPr>
        <w:t>accelerate</w:t>
      </w:r>
      <w:r w:rsidR="000E6972" w:rsidRPr="000E6972">
        <w:rPr>
          <w:color w:val="EE0000"/>
          <w:lang w:val="en-US"/>
        </w:rPr>
        <w:t>d</w:t>
      </w:r>
      <w:r w:rsidR="00EC34A6" w:rsidRPr="007526EC">
        <w:rPr>
          <w:color w:val="000000" w:themeColor="text1"/>
          <w:lang w:val="en-US"/>
        </w:rPr>
        <w:t xml:space="preserve"> barrier maturation</w:t>
      </w:r>
      <w:r w:rsidR="000E6972">
        <w:rPr>
          <w:color w:val="000000" w:themeColor="text1"/>
          <w:lang w:val="en-US"/>
        </w:rPr>
        <w:t xml:space="preserve"> </w:t>
      </w:r>
      <w:r w:rsidR="000E6972" w:rsidRPr="000E6972">
        <w:rPr>
          <w:color w:val="EE0000"/>
          <w:lang w:val="en-US"/>
        </w:rPr>
        <w:t>and the integration</w:t>
      </w:r>
      <w:r w:rsidR="00B82C37" w:rsidRPr="000E6972">
        <w:rPr>
          <w:color w:val="EE0000"/>
          <w:lang w:val="en-US"/>
        </w:rPr>
        <w:t xml:space="preserve"> </w:t>
      </w:r>
      <w:r w:rsidR="000E6972" w:rsidRPr="000E6972">
        <w:rPr>
          <w:color w:val="EE0000"/>
          <w:lang w:val="en-US"/>
        </w:rPr>
        <w:t>of</w:t>
      </w:r>
      <w:r w:rsidR="00EC34A6" w:rsidRPr="000E6972">
        <w:rPr>
          <w:color w:val="EE0000"/>
          <w:lang w:val="en-US"/>
        </w:rPr>
        <w:t xml:space="preserve"> </w:t>
      </w:r>
      <w:r w:rsidR="00EC34A6" w:rsidRPr="007526EC">
        <w:rPr>
          <w:color w:val="000000" w:themeColor="text1"/>
          <w:lang w:val="en-US"/>
        </w:rPr>
        <w:t xml:space="preserve">3D tumor </w:t>
      </w:r>
      <w:r w:rsidR="00B82C37" w:rsidRPr="007526EC">
        <w:rPr>
          <w:color w:val="000000" w:themeColor="text1"/>
          <w:lang w:val="en-US"/>
        </w:rPr>
        <w:t>spheroids</w:t>
      </w:r>
      <w:r w:rsidR="000E6972">
        <w:rPr>
          <w:color w:val="000000" w:themeColor="text1"/>
          <w:lang w:val="en-US"/>
        </w:rPr>
        <w:t xml:space="preserve"> under </w:t>
      </w:r>
      <w:r w:rsidR="00EC34A6" w:rsidRPr="007526EC">
        <w:rPr>
          <w:color w:val="000000" w:themeColor="text1"/>
          <w:lang w:val="en-US"/>
        </w:rPr>
        <w:t>controlled</w:t>
      </w:r>
      <w:r w:rsidR="000E6972">
        <w:rPr>
          <w:color w:val="000000" w:themeColor="text1"/>
          <w:lang w:val="en-US"/>
        </w:rPr>
        <w:t xml:space="preserve">, </w:t>
      </w:r>
      <w:r w:rsidR="000E6972" w:rsidRPr="000E6972">
        <w:rPr>
          <w:color w:val="EE0000"/>
          <w:lang w:val="en-US"/>
        </w:rPr>
        <w:t xml:space="preserve">perfused </w:t>
      </w:r>
      <w:r w:rsidR="000E6972" w:rsidRPr="00850EC4">
        <w:rPr>
          <w:color w:val="EE0000"/>
          <w:lang w:val="en-US"/>
        </w:rPr>
        <w:t>conditions</w:t>
      </w:r>
      <w:r w:rsidR="00EC34A6" w:rsidRPr="00850EC4">
        <w:rPr>
          <w:color w:val="EE0000"/>
          <w:lang w:val="en-US"/>
        </w:rPr>
        <w:t xml:space="preserve">. </w:t>
      </w:r>
      <w:r w:rsidR="000E6972" w:rsidRPr="00850EC4">
        <w:rPr>
          <w:color w:val="EE0000"/>
          <w:lang w:val="en-US"/>
        </w:rPr>
        <w:t>This setup enhances biological fidelity and represents a versatile tool for studying BBB</w:t>
      </w:r>
      <w:r w:rsidR="00850EC4" w:rsidRPr="00850EC4">
        <w:rPr>
          <w:color w:val="EE0000"/>
          <w:lang w:val="en-US"/>
        </w:rPr>
        <w:t>-</w:t>
      </w:r>
      <w:r w:rsidR="000E6972" w:rsidRPr="00850EC4">
        <w:rPr>
          <w:color w:val="EE0000"/>
          <w:lang w:val="en-US"/>
        </w:rPr>
        <w:t>tumor interactions, therapeutic delivery, and barrier integrity.</w:t>
      </w:r>
    </w:p>
    <w:p w14:paraId="0720D57A" w14:textId="2F115D3F" w:rsidR="001F4C35" w:rsidRPr="000E6972" w:rsidRDefault="001F4C35" w:rsidP="001F4C35">
      <w:pPr>
        <w:pBdr>
          <w:top w:val="nil"/>
          <w:left w:val="nil"/>
          <w:bottom w:val="nil"/>
          <w:right w:val="nil"/>
          <w:between w:val="nil"/>
        </w:pBdr>
        <w:spacing w:line="276" w:lineRule="auto"/>
        <w:jc w:val="both"/>
        <w:rPr>
          <w:color w:val="C00000"/>
          <w:lang w:val="en-US"/>
        </w:rPr>
      </w:pPr>
      <w:r w:rsidRPr="001F4C35">
        <w:rPr>
          <w:color w:val="EE0000"/>
          <w:lang w:val="en-US"/>
        </w:rPr>
        <w:t>Consistent with known mechanisms of monocyte trafficking</w:t>
      </w:r>
      <w:r w:rsidRPr="001F4C35">
        <w:rPr>
          <w:color w:val="EE0000"/>
          <w:lang w:val="en-US"/>
        </w:rPr>
        <w:t xml:space="preserve"> </w:t>
      </w:r>
      <w:r w:rsidR="007973CA" w:rsidRPr="007526EC">
        <w:rPr>
          <w:color w:val="000000" w:themeColor="text1"/>
          <w:lang w:val="en-US"/>
        </w:rPr>
        <w:fldChar w:fldCharType="begin" w:fldLock="1"/>
      </w:r>
      <w:r w:rsidR="00277626" w:rsidRPr="007526EC">
        <w:rPr>
          <w:color w:val="000000" w:themeColor="text1"/>
          <w:lang w:val="en-US"/>
        </w:rPr>
        <w:instrText>ADDIN CSL_CITATION {"citationItems":[{"id":"ITEM-1","itemData":{"DOI":"10.1007/s00401-004-0928-x","ISSN":"0001-6322 (Print)","PMID":"15549331","abstract":"Diapedesis of leukocytes across endothelial barriers is generally believed to  require the opening of endothelial tight junctions. At the blood-brain barrier (BBB), endothelial cells are interconnected by complex tight junctions. Here, we show by serial section conventional electron microscopy that during experimental autoimmune encephalomyelitis mononuclear cells traverse cerebral microvessels by a transcellular pathway, leaving the endothelial tight junctions intact. Cerebral endothelial cells were found to form filopodia-like membrane protrusions on their luminal aspect, thus embracing the mononuclear cells and forming cup-like structures, and eventually pores, through which the traversing cell could reach the abluminal side. At the abluminal side endothelial cell protrusions surrounding a migrating inflammatory cell were found to be progressively lined with basal lamina, suggesting a change from luminal to abluminal membrane characteristics of endothelial cell membranes during inflammatory cell diapedesis. Morphological evidence for the involvement of tight junctions in the diapedesis of mononuclear cells across the inflamed BBB could not be obtained in any case. Taken together, the presence of morphologically intact tight junctions and our novel finding of the presence of a basal lamina on both sides of abluminal endothelial cell protrusions surrounding migrating inflammatory cells suggests that during experimental autoimmune encephalomyelitis diapedesis of mononuclear cells occurs via a transendothelial process.","author":[{"dropping-particle":"","family":"Wolburg","given":"Hartwig","non-dropping-particle":"","parse-names":false,"suffix":""},{"dropping-particle":"","family":"Wolburg-Buchholz","given":"Karen","non-dropping-particle":"","parse-names":false,"suffix":""},{"dropping-particle":"","family":"Engelhardt","given":"Britta","non-dropping-particle":"","parse-names":false,"suffix":""}],"container-title":"Acta neuropathologica","id":"ITEM-1","issue":"2","issued":{"date-parts":[["2005","2"]]},"language":"eng","page":"181-190","publisher-place":"Germany","title":"Diapedesis of mononuclear cells across cerebral venules during experimental  autoimmune encephalomyelitis leaves tight junctions intact.","type":"article-journal","volume":"109"},"uris":["http://www.mendeley.com/documents/?uuid=9641ec63-a268-4727-8cb9-081ad848f5fb"]}],"mendeley":{"formattedCitation":"&lt;sup&gt;[37]&lt;/sup&gt;","plainTextFormattedCitation":"[37]","previouslyFormattedCitation":"&lt;sup&gt;[38]&lt;/sup&gt;"},"properties":{"noteIndex":0},"schema":"https://github.com/citation-style-language/schema/raw/master/csl-citation.json"}</w:instrText>
      </w:r>
      <w:r w:rsidR="007973CA" w:rsidRPr="007526EC">
        <w:rPr>
          <w:color w:val="000000" w:themeColor="text1"/>
          <w:lang w:val="en-US"/>
        </w:rPr>
        <w:fldChar w:fldCharType="separate"/>
      </w:r>
      <w:r w:rsidR="00277626" w:rsidRPr="007526EC">
        <w:rPr>
          <w:noProof/>
          <w:color w:val="000000" w:themeColor="text1"/>
          <w:vertAlign w:val="superscript"/>
          <w:lang w:val="en-US"/>
        </w:rPr>
        <w:t>[37]</w:t>
      </w:r>
      <w:r w:rsidR="007973CA" w:rsidRPr="007526EC">
        <w:rPr>
          <w:color w:val="000000" w:themeColor="text1"/>
          <w:lang w:val="en-US"/>
        </w:rPr>
        <w:fldChar w:fldCharType="end"/>
      </w:r>
      <w:r w:rsidR="00277626" w:rsidRPr="007526EC">
        <w:rPr>
          <w:color w:val="000000" w:themeColor="text1"/>
          <w:lang w:val="en-US"/>
        </w:rPr>
        <w:fldChar w:fldCharType="begin" w:fldLock="1"/>
      </w:r>
      <w:r w:rsidR="00277626" w:rsidRPr="007526EC">
        <w:rPr>
          <w:color w:val="000000" w:themeColor="text1"/>
          <w:lang w:val="en-US"/>
        </w:rPr>
        <w:instrText>ADDIN CSL_CITATION {"citationItems":[{"id":"ITEM-1","itemData":{"DOI":"10.1093/jnen/62.4.412","ISSN":"0022-3069 (Print)","PMID":"12722833","abstract":"We have used human brain-derived endothelial cells (HBECs) maintained under basal  culture conditions in a Boyden chamber assay system as an in vitro model of migration of cells of systemic immune origin across the blood brain barrier (BBB) during the initiation of a CNS-directed inflammatory response. In this study we evaluated the molecular mechanisms that regulate passage of ex vivo peripheral blood-derived monocytes across this barrier and the effects of such migration on the properties of both the HBECs and the monocytes. Our results indicate that monocytes can migrate across HBECs in the absence of inflammatory conditions, at rates exceeding those of lymphocytes. Monocyte migration could be significantly inhibited by the addition of blocking antibodies to intercellular adhesion molecule (ICAM)-1, very late antigen (VLA)-4 integrin, and monocyte chemoattractant protein (CCL-2/MCP-1), or treatment with tissue inhibitor of metalloproteinase (TIMP-1). Following monocyte migration there was a significant increase in permeability of soluble molecules and an enhanced rate of T cell migration across HBECs. The enhanced permeability could be partially prevented with anti-TNF-alpha antibody. The migration process did not induce the upregulation of either co-stimulatory molecules or chemokine receptors on the monocytes. These studies emphasize the functional role of monocyte-endothelial interactions in permitting target access of a CNS-directed cell-mediated immune response.","author":[{"dropping-particle":"","family":"Séguin","given":"Rosanne","non-dropping-particle":"","parse-names":false,"suffix":""},{"dropping-particle":"","family":"Biernacki","given":"Katarzyna","non-dropping-particle":"","parse-names":false,"suffix":""},{"dropping-particle":"","family":"Rotondo","given":"Ronny L","non-dropping-particle":"","parse-names":false,"suffix":""},{"dropping-particle":"","family":"Prat","given":"Alexandre","non-dropping-particle":"","parse-names":false,"suffix":""},{"dropping-particle":"","family":"Antel","given":"Jack P","non-dropping-particle":"","parse-names":false,"suffix":""}],"container-title":"Journal of neuropathology and experimental neurology","id":"ITEM-1","issue":"4","issued":{"date-parts":[["2003","4"]]},"language":"eng","page":"412-419","publisher-place":"England","title":"Regulation and functional effects of monocyte migration across human  brain-derived endothelial cells.","type":"article-journal","volume":"62"},"uris":["http://www.mendeley.com/documents/?uuid=4cf67ac3-a4de-4944-ac29-b0b5b365d320"]}],"mendeley":{"formattedCitation":"&lt;sup&gt;[38]&lt;/sup&gt;","plainTextFormattedCitation":"[38]","previouslyFormattedCitation":"&lt;sup&gt;[37]&lt;/sup&gt;"},"properties":{"noteIndex":0},"schema":"https://github.com/citation-style-language/schema/raw/master/csl-citation.json"}</w:instrText>
      </w:r>
      <w:r w:rsidR="00277626" w:rsidRPr="007526EC">
        <w:rPr>
          <w:color w:val="000000" w:themeColor="text1"/>
          <w:lang w:val="en-US"/>
        </w:rPr>
        <w:fldChar w:fldCharType="separate"/>
      </w:r>
      <w:r w:rsidR="00277626" w:rsidRPr="007526EC">
        <w:rPr>
          <w:noProof/>
          <w:color w:val="000000" w:themeColor="text1"/>
          <w:vertAlign w:val="superscript"/>
          <w:lang w:val="en-US"/>
        </w:rPr>
        <w:t>[38]</w:t>
      </w:r>
      <w:r w:rsidR="00277626" w:rsidRPr="007526EC">
        <w:rPr>
          <w:color w:val="000000" w:themeColor="text1"/>
          <w:lang w:val="en-US"/>
        </w:rPr>
        <w:fldChar w:fldCharType="end"/>
      </w:r>
      <w:r w:rsidR="007973CA" w:rsidRPr="007526EC">
        <w:rPr>
          <w:color w:val="000000" w:themeColor="text1"/>
          <w:lang w:val="en-US"/>
        </w:rPr>
        <w:fldChar w:fldCharType="begin" w:fldLock="1"/>
      </w:r>
      <w:r w:rsidR="004D56B1" w:rsidRPr="007526EC">
        <w:rPr>
          <w:color w:val="000000" w:themeColor="text1"/>
          <w:lang w:val="en-US"/>
        </w:rPr>
        <w:instrText>ADDIN CSL_CITATION {"citationItems":[{"id":"ITEM-1","itemData":{"DOI":"10.1038/s41590-022-01415-8","ISSN":"1529-2916 (Electronic)","PMID":"36759712","abstract":"Myeloid cells in the central nervous system (CNS), such as microglia,  CNS-associated macrophages (CAMs), dendritic cells and monocytes, are vital for steady-state immune homeostasis as well as the resolution of tissue damage during brain development or disease-related pathology. The complementary usage of multimodal high-throughput and high-dimensional single-cell technologies along with recent advances in cell-fate mapping has revealed remarkable myeloid cell heterogeneity in the CNS. Despite the establishment of extensive expression profiles revealing myeloid cell multiplicity, the local anatomical conditions for the temporal- and spatial-dependent cellular engraftment are poorly understood. Here we highlight recent discoveries of the context-dependent mechanisms of myeloid cell migration and settlement into distinct subtissular structures in the CNS. These insights offer better understanding of the factors needed for compartment-specific myeloid cell recruitment, integration and residence during development and perturbation, which may lead to better treatment of CNS diseases.","author":[{"dropping-particle":"","family":"Amann","given":"Lukas","non-dropping-particle":"","parse-names":false,"suffix":""},{"dropping-particle":"","family":"Masuda","given":"Takahiro","non-dropping-particle":"","parse-names":false,"suffix":""},{"dropping-particle":"","family":"Prinz","given":"Marco","non-dropping-particle":"","parse-names":false,"suffix":""}],"container-title":"Nature immunology","id":"ITEM-1","issue":"3","issued":{"date-parts":[["2023","3"]]},"language":"eng","page":"393-407","publisher-place":"United States","title":"Mechanisms of myeloid cell entry to the healthy and diseased central nervous  system.","type":"article-journal","volume":"24"},"uris":["http://www.mendeley.com/documents/?uuid=1d80784f-fe61-4a49-8008-f47b8c330019"]}],"mendeley":{"formattedCitation":"&lt;sup&gt;[39]&lt;/sup&gt;","plainTextFormattedCitation":"[39]","previouslyFormattedCitation":"&lt;sup&gt;[39]&lt;/sup&gt;"},"properties":{"noteIndex":0},"schema":"https://github.com/citation-style-language/schema/raw/master/csl-citation.json"}</w:instrText>
      </w:r>
      <w:r w:rsidR="007973CA" w:rsidRPr="007526EC">
        <w:rPr>
          <w:color w:val="000000" w:themeColor="text1"/>
          <w:lang w:val="en-US"/>
        </w:rPr>
        <w:fldChar w:fldCharType="separate"/>
      </w:r>
      <w:r w:rsidR="008A437C" w:rsidRPr="007526EC">
        <w:rPr>
          <w:noProof/>
          <w:color w:val="000000" w:themeColor="text1"/>
          <w:vertAlign w:val="superscript"/>
          <w:lang w:val="en-US"/>
        </w:rPr>
        <w:t>[39]</w:t>
      </w:r>
      <w:r w:rsidR="007973CA" w:rsidRPr="007526EC">
        <w:rPr>
          <w:color w:val="000000" w:themeColor="text1"/>
          <w:lang w:val="en-US"/>
        </w:rPr>
        <w:fldChar w:fldCharType="end"/>
      </w:r>
      <w:r w:rsidR="00DF07B6">
        <w:rPr>
          <w:color w:val="000000" w:themeColor="text1"/>
          <w:lang w:val="en-US"/>
        </w:rPr>
        <w:t xml:space="preserve"> </w:t>
      </w:r>
      <w:r w:rsidR="00DF07B6" w:rsidRPr="00DF07B6">
        <w:rPr>
          <w:color w:val="EE0000"/>
          <w:lang w:val="en-US"/>
        </w:rPr>
        <w:t xml:space="preserve">and </w:t>
      </w:r>
      <w:r w:rsidR="00DF07B6">
        <w:rPr>
          <w:color w:val="EE0000"/>
          <w:lang w:val="en-US"/>
        </w:rPr>
        <w:t xml:space="preserve">with </w:t>
      </w:r>
      <w:r w:rsidR="00DF07B6" w:rsidRPr="00DF07B6">
        <w:rPr>
          <w:color w:val="EE0000"/>
          <w:lang w:val="en-US"/>
        </w:rPr>
        <w:t xml:space="preserve">the use of viruses-loaded “trojan horses” </w:t>
      </w:r>
      <w:r w:rsidR="00DF07B6" w:rsidRPr="00DF07B6">
        <w:rPr>
          <w:color w:val="EE0000"/>
          <w:lang w:val="en-US"/>
        </w:rPr>
        <w:t>to enter the central nervous system</w:t>
      </w:r>
      <w:r w:rsidR="00DF07B6">
        <w:rPr>
          <w:color w:val="EE0000"/>
          <w:lang w:val="en-US"/>
        </w:rPr>
        <w:t xml:space="preserve"> </w:t>
      </w:r>
      <w:r w:rsidR="007973CA" w:rsidRPr="007526EC">
        <w:rPr>
          <w:color w:val="000000" w:themeColor="text1"/>
          <w:lang w:val="en-US"/>
        </w:rPr>
        <w:fldChar w:fldCharType="begin" w:fldLock="1"/>
      </w:r>
      <w:r w:rsidR="004D56B1" w:rsidRPr="007526EC">
        <w:rPr>
          <w:color w:val="000000" w:themeColor="text1"/>
          <w:lang w:val="en-US"/>
        </w:rPr>
        <w:instrText>ADDIN CSL_CITATION {"citationItems":[{"id":"ITEM-1","itemData":{"DOI":"10.1371/journal.pone.0069270","ISSN":"1932-6203 (Electronic)","PMID":"23922698","abstract":"As HIV infected individuals live longer, the prevalence of HIV associated  neurocognitive disorders is increasing, despite successful antiretroviral therapy. CD14(+)CD16(+) monocytes are critical to the neuropathogenesis of HIV as they promote viral seeding of the brain and establish neuroinflammation. The mechanisms by which HIV infected and uninfected monocytes cross the blood brain barrier and enter the central nervous system are not fully understood. We determined that HIV infection of CD14(+)CD16(+) monocytes resulted in their highly increased transmigration across the blood brain barrier in response to CCL2 as compared to uninfected cells, which did not occur in the absence of the chemokine. This exuberant transmigration of HIV infected monocytes was due, at least in part, to increased CCR2 and significantly heightened sensitivity to CCL2. The entry of HIV infected and uninfected CD14(+)CD16(+) monocytes into the brain was facilitated by significantly increased surface JAM-A, ALCAM, CD99, and PECAM-1, as compared to CD14(+) cells that are CD16 negative. Upon HIV infection, there was an additional increase in surface JAM-A and ALCAM on CD14(+)CD16(+) monocytes isolated from some individuals. Antibodies to ALCAM and JAM-A inhibited the transmigration of both HIV infected and uninfected CD14(+)CD16(+) monocytes across the BBB, demonstrating their importance in facilitating monocyte transmigration and entry into the brain parenchyma. Targeting CCR2, JAM-A, and ALCAM present on CD14(+)CD16(+) monocytes that preferentially infiltrate the CNS represents a therapeutic strategy to reduce viral seeding of the brain as well as the ongoing neuroinflammation that occurs during HIV pathogenesis.","author":[{"dropping-particle":"","family":"Williams","given":"Dionna W","non-dropping-particle":"","parse-names":false,"suffix":""},{"dropping-particle":"","family":"Calderon","given":"Tina M","non-dropping-particle":"","parse-names":false,"suffix":""},{"dropping-particle":"","family":"Lopez","given":"Lillie","non-dropping-particle":"","parse-names":false,"suffix":""},{"dropping-particle":"","family":"Carvallo-Torres","given":"Loreto","non-dropping-particle":"","parse-names":false,"suffix":""},{"dropping-particle":"","family":"Gaskill","given":"Peter J","non-dropping-particle":"","parse-names":false,"suffix":""},{"dropping-particle":"","family":"Eugenin","given":"Eliseo A","non-dropping-particle":"","parse-names":false,"suffix":""},{"dropping-particle":"","family":"Morgello","given":"Susan","non-dropping-particle":"","parse-names":false,"suffix":""},{"dropping-particle":"","family":"Berman","given":"Joan W","non-dropping-particle":"","parse-names":false,"suffix":""}],"container-title":"PloS one","id":"ITEM-1","issue":"7","issued":{"date-parts":[["2013"]]},"language":"eng","page":"e69270","publisher-place":"United States","title":"Mechanisms of HIV entry into the CNS: increased sensitivity of HIV infected  CD14+CD16+ monocytes to CCL2 and key roles of CCR2, JAM-A, and ALCAM in diapedesis.","type":"article-journal","volume":"8"},"uris":["http://www.mendeley.com/documents/?uuid=20e21dcd-f8e1-427c-9a6d-4b57a5b5a3d6"]}],"mendeley":{"formattedCitation":"&lt;sup&gt;[40]&lt;/sup&gt;","plainTextFormattedCitation":"[40]","previouslyFormattedCitation":"&lt;sup&gt;[40]&lt;/sup&gt;"},"properties":{"noteIndex":0},"schema":"https://github.com/citation-style-language/schema/raw/master/csl-citation.json"}</w:instrText>
      </w:r>
      <w:r w:rsidR="007973CA" w:rsidRPr="007526EC">
        <w:rPr>
          <w:color w:val="000000" w:themeColor="text1"/>
          <w:lang w:val="en-US"/>
        </w:rPr>
        <w:fldChar w:fldCharType="separate"/>
      </w:r>
      <w:r w:rsidR="008A437C" w:rsidRPr="007526EC">
        <w:rPr>
          <w:noProof/>
          <w:color w:val="000000" w:themeColor="text1"/>
          <w:vertAlign w:val="superscript"/>
          <w:lang w:val="en-US"/>
        </w:rPr>
        <w:t>[40]</w:t>
      </w:r>
      <w:r w:rsidR="007973CA" w:rsidRPr="007526EC">
        <w:rPr>
          <w:color w:val="000000" w:themeColor="text1"/>
          <w:lang w:val="en-US"/>
        </w:rPr>
        <w:fldChar w:fldCharType="end"/>
      </w:r>
      <w:r w:rsidR="00B32438" w:rsidRPr="007526EC">
        <w:rPr>
          <w:color w:val="000000" w:themeColor="text1"/>
          <w:lang w:val="en-US"/>
        </w:rPr>
        <w:fldChar w:fldCharType="begin" w:fldLock="1"/>
      </w:r>
      <w:r w:rsidR="004D56B1" w:rsidRPr="007526EC">
        <w:rPr>
          <w:color w:val="000000" w:themeColor="text1"/>
          <w:lang w:val="en-US"/>
        </w:rPr>
        <w:instrText>ADDIN CSL_CITATION {"citationItems":[{"id":"ITEM-1","itemData":{"DOI":"10.1016/j.imbio.2019.08.007","ISSN":"1878-3279 (Electronic)","PMID":"31493920","abstract":"Details of the \"Trojan Horse\" mechanism by which Zika virus (ZIKV) crosses the  blood-brain barrier (BBB) remain unclear. However, the migration of ZIKV-infected monocytes to the brain is thought to be dependent on both pattern-recognition and chemokine receptors. In this study, we investigated whether the migration of ZIKV-infected MonoMac-1 (MM-1) cells through the BBB is dependent on chemokine receptor 7 (CCR7) and receptor for advanced glycation end (RAGE); we also determined whether high mobility group box protein 1 (HMGB1) could facilitate the permeabilization of endothelial cells. We demonstrated that ZIKV infects MM-1 cells, leading to milieu accumulation of HMGB1. Our results suggest that HMGB1 is involved in the dysregulation of primary human brain microvascular endothelial cell junction markers. Our results also indicate that the migration of ZIKV-infected monocytes is dependent on chemokine ligand 19 (CCL19), the natural ligand of CCR7, in conditions recapitulating inflammation. RAGE-dependent migration of ZIKV-infected cells declined during transmigration assays in the presence of RAGE receptor antagonist FPS-ZM1. Understanding the molecular role of monocyte trafficking during ZIKV infections could facilitate the development of new therapeutic strategies to prevent the deleterious consequences of ZIKV neuroinfection.","author":[{"dropping-particle":"","family":"Carvalho","given":"Gabriel Costa","non-dropping-particle":"de","parse-names":false,"suffix":""},{"dropping-particle":"","family":"Borget","given":"Marie-Yolande","non-dropping-particle":"","parse-names":false,"suffix":""},{"dropping-particle":"","family":"Bernier","given":"Stéphane","non-dropping-particle":"","parse-names":false,"suffix":""},{"dropping-particle":"","family":"Garneau","given":"Daniel","non-dropping-particle":"","parse-names":false,"suffix":""},{"dropping-particle":"","family":"Silva Duarte","given":"Alberto José","non-dropping-particle":"da","parse-names":false,"suffix":""},{"dropping-particle":"","family":"Dumais","given":"Nancy","non-dropping-particle":"","parse-names":false,"suffix":""}],"container-title":"Immunobiology","id":"ITEM-1","issue":"6","issued":{"date-parts":[["2019","11"]]},"language":"eng","page":"792-803","publisher-place":"Netherlands","title":"RAGE and CCR7 mediate the transmigration of Zika-infected monocytes through the  blood-brain barrier.","type":"article-journal","volume":"224"},"uris":["http://www.mendeley.com/documents/?uuid=a19e582c-726f-4930-b1c7-8520d380b4a3"]}],"mendeley":{"formattedCitation":"&lt;sup&gt;[41]&lt;/sup&gt;","plainTextFormattedCitation":"[41]","previouslyFormattedCitation":"&lt;sup&gt;[41]&lt;/sup&gt;"},"properties":{"noteIndex":0},"schema":"https://github.com/citation-style-language/schema/raw/master/csl-citation.json"}</w:instrText>
      </w:r>
      <w:r w:rsidR="00B32438" w:rsidRPr="007526EC">
        <w:rPr>
          <w:color w:val="000000" w:themeColor="text1"/>
          <w:lang w:val="en-US"/>
        </w:rPr>
        <w:fldChar w:fldCharType="separate"/>
      </w:r>
      <w:r w:rsidR="008A437C" w:rsidRPr="007526EC">
        <w:rPr>
          <w:noProof/>
          <w:color w:val="000000" w:themeColor="text1"/>
          <w:vertAlign w:val="superscript"/>
          <w:lang w:val="en-US"/>
        </w:rPr>
        <w:t>[41]</w:t>
      </w:r>
      <w:r w:rsidR="00B32438" w:rsidRPr="007526EC">
        <w:rPr>
          <w:color w:val="000000" w:themeColor="text1"/>
          <w:lang w:val="en-US"/>
        </w:rPr>
        <w:fldChar w:fldCharType="end"/>
      </w:r>
      <w:r w:rsidR="00B32438" w:rsidRPr="007526EC">
        <w:rPr>
          <w:color w:val="000000" w:themeColor="text1"/>
          <w:lang w:val="en-US"/>
        </w:rPr>
        <w:fldChar w:fldCharType="begin" w:fldLock="1"/>
      </w:r>
      <w:r w:rsidR="004D56B1" w:rsidRPr="007526EC">
        <w:rPr>
          <w:color w:val="000000" w:themeColor="text1"/>
          <w:lang w:val="en-US"/>
        </w:rPr>
        <w:instrText>ADDIN CSL_CITATION {"citationItems":[{"id":"ITEM-1","itemData":{"DOI":"10.1128/spectrum.00690-24","ISSN":"2165-0497 (Electronic)","PMID":"38752731","abstract":"Enterovirus A71 (EV-A71) is associated with neurological conditions such as acute  meningitis and encephalitis. The virus is detected in the bloodstream, and high blood viral loads are associated with central nervous system (CNS) manifestations. We used an in vitro blood-brain barrier (BBB) model made up of human brain-like endothelial cells (hBLECs) and brain pericytes grown in transwell systems to investigate whether three genetically distinct EV-A71 strains (subgenogroups C1, C1-like, and C4) can cross the human BBB. EV-A71 poorly replicated in hBLECs, which released moderate amounts of infectious viruses from their luminal side and trace amounts of infectious viruses from their basolateral side. The barrier properties of hBLECs were not impaired by EV-A71 infection. We investigated the passage through hBLECs of EV-A71-infected white blood cells. EV-A71 strains efficiently replicated in immune cells, including monocytes, neutrophils, and NK/T cells. Attachment to hBLECs of immune cells infected with the C1-like virus was higher than attachment of cells infected with C1-06. EV-A71 infection did not impair the transmigration of immune cells through hBLECs. Overall, EV-A71 targets different white blood cell populations that have the potential to be used as a Trojan horse to cross hBLECs more efficiently than cell-free EV-A71 particles.IMPORTANCEEnterovirus A71 (EV-A71) was first reported in the USA, and numerous outbreaks have since occurred in Asia and Europe. EV-A71 re-emerged as a new multirecombinant strain in 2015 in Europe and is now widespread. The virus causes hand-foot-and-mouth disease in young children and is involved in nervous system infections. How the virus spreads to the nervous system is unclear. We investigated whether white blood cells could be infected by EV-A71 and transmit it across human endothelial cells mimicking the blood-brain barrier protecting the brain from adverse effects. We found that endothelial cells provide a strong roadblock to prevent the passage of free virus particles but allow the migration of infected immune cells, including monocytes, neutrophils, and NK/T cells. Our data are consistent with the potential role of immune cells in the pathogenesis of EV-A71 infections by spreading the virus in the blood and across the human blood-brain barrier.","author":[{"dropping-particle":"","family":"Gaume","given":"Léa","non-dropping-particle":"","parse-names":false,"suffix":""},{"dropping-particle":"","family":"Chabrolles","given":"Hélène","non-dropping-particle":"","parse-names":false,"suffix":""},{"dropping-particle":"","family":"Bisseux","given":"Maxime","non-dropping-particle":"","parse-names":false,"suffix":""},{"dropping-particle":"","family":"Lopez-Coqueiro","given":"Igor","non-dropping-particle":"","parse-names":false,"suffix":""},{"dropping-particle":"","family":"Dehouck","given":"Lucie","non-dropping-particle":"","parse-names":false,"suffix":""},{"dropping-particle":"","family":"Mirand","given":"Audrey","non-dropping-particle":"","parse-names":false,"suffix":""},{"dropping-particle":"","family":"Henquell","given":"Cécile","non-dropping-particle":"","parse-names":false,"suffix":""},{"dropping-particle":"","family":"Gosselet","given":"Fabien","non-dropping-particle":"","parse-names":false,"suffix":""},{"dropping-particle":"","family":"Archimbaud","given":"Christine","non-dropping-particle":"","parse-names":false,"suffix":""},{"dropping-particle":"","family":"Bailly","given":"Jean-Luc","non-dropping-particle":"","parse-names":false,"suffix":""}],"container-title":"Microbiology spectrum","id":"ITEM-1","issue":"6","issued":{"date-parts":[["2024","6"]]},"language":"eng","page":"e0069024","publisher-place":"United States","title":"Enterovirus A71 crosses a human blood-brain barrier model through infected immune  cells.","type":"article-journal","volume":"12"},"uris":["http://www.mendeley.com/documents/?uuid=6f876133-bc02-4802-bf0a-12b91bc0f80c"]}],"mendeley":{"formattedCitation":"&lt;sup&gt;[42]&lt;/sup&gt;","plainTextFormattedCitation":"[42]","previouslyFormattedCitation":"&lt;sup&gt;[42]&lt;/sup&gt;"},"properties":{"noteIndex":0},"schema":"https://github.com/citation-style-language/schema/raw/master/csl-citation.json"}</w:instrText>
      </w:r>
      <w:r w:rsidR="00B32438" w:rsidRPr="007526EC">
        <w:rPr>
          <w:color w:val="000000" w:themeColor="text1"/>
          <w:lang w:val="en-US"/>
        </w:rPr>
        <w:fldChar w:fldCharType="separate"/>
      </w:r>
      <w:r w:rsidR="008A437C" w:rsidRPr="007526EC">
        <w:rPr>
          <w:noProof/>
          <w:color w:val="000000" w:themeColor="text1"/>
          <w:vertAlign w:val="superscript"/>
          <w:lang w:val="en-US"/>
        </w:rPr>
        <w:t>[42]</w:t>
      </w:r>
      <w:r w:rsidR="00B32438" w:rsidRPr="007526EC">
        <w:rPr>
          <w:color w:val="000000" w:themeColor="text1"/>
          <w:lang w:val="en-US"/>
        </w:rPr>
        <w:fldChar w:fldCharType="end"/>
      </w:r>
      <w:r w:rsidR="00E95E36" w:rsidRPr="007526EC">
        <w:rPr>
          <w:color w:val="000000" w:themeColor="text1"/>
          <w:lang w:val="en-US"/>
        </w:rPr>
        <w:t xml:space="preserve">, </w:t>
      </w:r>
      <w:r w:rsidR="00DF07B6" w:rsidRPr="001F4C35">
        <w:rPr>
          <w:color w:val="EE0000"/>
          <w:lang w:val="en-US"/>
        </w:rPr>
        <w:t xml:space="preserve">our results </w:t>
      </w:r>
      <w:r w:rsidR="00DF07B6" w:rsidRPr="001F4C35">
        <w:rPr>
          <w:color w:val="000000" w:themeColor="text1"/>
          <w:lang w:val="en-US"/>
        </w:rPr>
        <w:t>confirm that primary human monocytes can traverse the BBB and deliver oHSV-1 to GBM spheroids</w:t>
      </w:r>
      <w:r w:rsidR="00DF07B6">
        <w:rPr>
          <w:color w:val="000000" w:themeColor="text1"/>
          <w:lang w:val="en-US"/>
        </w:rPr>
        <w:t>.</w:t>
      </w:r>
    </w:p>
    <w:p w14:paraId="7272CA17" w14:textId="7E39C64A" w:rsidR="000E6972" w:rsidRPr="007526EC" w:rsidRDefault="00C71874" w:rsidP="001F4C35">
      <w:pPr>
        <w:pBdr>
          <w:top w:val="nil"/>
          <w:left w:val="nil"/>
          <w:bottom w:val="nil"/>
          <w:right w:val="nil"/>
          <w:between w:val="nil"/>
        </w:pBdr>
        <w:spacing w:line="276" w:lineRule="auto"/>
        <w:jc w:val="both"/>
        <w:rPr>
          <w:color w:val="000000" w:themeColor="text1"/>
          <w:lang w:val="en-US"/>
        </w:rPr>
      </w:pPr>
      <w:r w:rsidRPr="007526EC">
        <w:rPr>
          <w:color w:val="000000" w:themeColor="text1"/>
          <w:lang w:val="en-US"/>
        </w:rPr>
        <w:t xml:space="preserve">Our BBB-on-chip model </w:t>
      </w:r>
      <w:r w:rsidR="004E18A7" w:rsidRPr="004E18A7">
        <w:rPr>
          <w:color w:val="EE0000"/>
          <w:lang w:val="en-US"/>
        </w:rPr>
        <w:t>proves</w:t>
      </w:r>
      <w:r w:rsidRPr="004E18A7">
        <w:rPr>
          <w:color w:val="EE0000"/>
          <w:lang w:val="en-US"/>
        </w:rPr>
        <w:t xml:space="preserve"> </w:t>
      </w:r>
      <w:r w:rsidR="00E95E36" w:rsidRPr="007526EC">
        <w:rPr>
          <w:color w:val="000000" w:themeColor="text1"/>
          <w:lang w:val="en-US"/>
        </w:rPr>
        <w:t>that</w:t>
      </w:r>
      <w:r w:rsidRPr="007526EC">
        <w:rPr>
          <w:color w:val="000000" w:themeColor="text1"/>
          <w:lang w:val="en-US"/>
        </w:rPr>
        <w:t xml:space="preserve"> primary human monocytes </w:t>
      </w:r>
      <w:r w:rsidR="00E95E36" w:rsidRPr="007526EC">
        <w:rPr>
          <w:color w:val="000000" w:themeColor="text1"/>
          <w:lang w:val="en-US"/>
        </w:rPr>
        <w:t>can</w:t>
      </w:r>
      <w:r w:rsidRPr="007526EC">
        <w:rPr>
          <w:color w:val="000000" w:themeColor="text1"/>
          <w:lang w:val="en-US"/>
        </w:rPr>
        <w:t xml:space="preserve"> traverse the BBB </w:t>
      </w:r>
      <w:r w:rsidR="00E95E36" w:rsidRPr="007526EC">
        <w:rPr>
          <w:color w:val="000000" w:themeColor="text1"/>
          <w:lang w:val="en-US"/>
        </w:rPr>
        <w:t>and</w:t>
      </w:r>
      <w:r w:rsidRPr="007526EC">
        <w:rPr>
          <w:color w:val="000000" w:themeColor="text1"/>
          <w:lang w:val="en-US"/>
        </w:rPr>
        <w:t xml:space="preserve"> deliver </w:t>
      </w:r>
      <w:r w:rsidR="00E95E36" w:rsidRPr="007526EC">
        <w:rPr>
          <w:color w:val="000000" w:themeColor="text1"/>
          <w:lang w:val="en-US"/>
        </w:rPr>
        <w:t xml:space="preserve">oHSV-1 to GBM spheroid. Within this </w:t>
      </w:r>
      <w:proofErr w:type="spellStart"/>
      <w:r w:rsidR="00E95E36" w:rsidRPr="007526EC">
        <w:rPr>
          <w:color w:val="000000" w:themeColor="text1"/>
          <w:lang w:val="en-US"/>
        </w:rPr>
        <w:t>microphysiological</w:t>
      </w:r>
      <w:proofErr w:type="spellEnd"/>
      <w:r w:rsidR="00E95E36" w:rsidRPr="007526EC">
        <w:rPr>
          <w:color w:val="000000" w:themeColor="text1"/>
          <w:lang w:val="en-US"/>
        </w:rPr>
        <w:t xml:space="preserve"> environment, viral replication was reactivated</w:t>
      </w:r>
      <w:r w:rsidR="001F4C35">
        <w:rPr>
          <w:color w:val="000000" w:themeColor="text1"/>
          <w:lang w:val="en-US"/>
        </w:rPr>
        <w:t xml:space="preserve"> </w:t>
      </w:r>
      <w:r w:rsidR="001F4C35" w:rsidRPr="001F4C35">
        <w:rPr>
          <w:color w:val="EE0000"/>
          <w:lang w:val="en-US"/>
        </w:rPr>
        <w:t>locally</w:t>
      </w:r>
      <w:r w:rsidR="00E95E36" w:rsidRPr="007526EC">
        <w:rPr>
          <w:color w:val="000000" w:themeColor="text1"/>
          <w:lang w:val="en-US"/>
        </w:rPr>
        <w:t>, resulting in effective infection and oncolysis</w:t>
      </w:r>
      <w:r w:rsidR="001F4C35">
        <w:rPr>
          <w:color w:val="000000" w:themeColor="text1"/>
          <w:lang w:val="en-US"/>
        </w:rPr>
        <w:t xml:space="preserve">, </w:t>
      </w:r>
      <w:r w:rsidR="001F4C35" w:rsidRPr="001F4C35">
        <w:rPr>
          <w:color w:val="EE0000"/>
          <w:lang w:val="en-US"/>
        </w:rPr>
        <w:t>while maintaining BBB integrity</w:t>
      </w:r>
      <w:r w:rsidR="00E95E36" w:rsidRPr="007526EC">
        <w:rPr>
          <w:color w:val="000000" w:themeColor="text1"/>
          <w:lang w:val="en-US"/>
        </w:rPr>
        <w:t xml:space="preserve">. </w:t>
      </w:r>
      <w:r w:rsidR="00537301" w:rsidRPr="00537301">
        <w:rPr>
          <w:color w:val="EE0000"/>
          <w:lang w:val="en-US"/>
        </w:rPr>
        <w:t>These findings demonstrate the feasibility and safety of monocyte-mediated OV delivery within a human-relevant system</w:t>
      </w:r>
      <w:r w:rsidR="00537301">
        <w:rPr>
          <w:color w:val="EE0000"/>
          <w:lang w:val="en-US"/>
        </w:rPr>
        <w:t xml:space="preserve">, and </w:t>
      </w:r>
      <w:r w:rsidR="00E95E36" w:rsidRPr="007526EC">
        <w:rPr>
          <w:color w:val="000000" w:themeColor="text1"/>
          <w:lang w:val="en-US"/>
        </w:rPr>
        <w:t xml:space="preserve">future studies </w:t>
      </w:r>
      <w:r w:rsidR="00537301">
        <w:rPr>
          <w:color w:val="000000" w:themeColor="text1"/>
          <w:lang w:val="en-US"/>
        </w:rPr>
        <w:t>will aim</w:t>
      </w:r>
      <w:r w:rsidR="00E95E36" w:rsidRPr="007526EC">
        <w:rPr>
          <w:color w:val="000000" w:themeColor="text1"/>
          <w:lang w:val="en-US"/>
        </w:rPr>
        <w:t xml:space="preserve"> at refining cell-based viral therapies for GBM and other CNS malignancies</w:t>
      </w:r>
      <w:r w:rsidRPr="007526EC">
        <w:rPr>
          <w:color w:val="000000" w:themeColor="text1"/>
          <w:lang w:val="en-US"/>
        </w:rPr>
        <w:t xml:space="preserve">. </w:t>
      </w:r>
      <w:r w:rsidR="00E95E36" w:rsidRPr="007526EC">
        <w:rPr>
          <w:color w:val="000000" w:themeColor="text1"/>
          <w:lang w:val="en-US"/>
        </w:rPr>
        <w:t>Our</w:t>
      </w:r>
      <w:r w:rsidRPr="007526EC">
        <w:rPr>
          <w:color w:val="000000" w:themeColor="text1"/>
          <w:lang w:val="en-US"/>
        </w:rPr>
        <w:t xml:space="preserve"> key findings are summarized below.</w:t>
      </w:r>
    </w:p>
    <w:p w14:paraId="0C0B31EA" w14:textId="6988AB9B" w:rsidR="0065489A" w:rsidRPr="00511B3E" w:rsidRDefault="00C71874" w:rsidP="00511B3E">
      <w:pPr>
        <w:numPr>
          <w:ilvl w:val="0"/>
          <w:numId w:val="3"/>
        </w:numPr>
        <w:pBdr>
          <w:top w:val="nil"/>
          <w:left w:val="nil"/>
          <w:bottom w:val="nil"/>
          <w:right w:val="nil"/>
          <w:between w:val="nil"/>
        </w:pBdr>
        <w:spacing w:before="120" w:line="276" w:lineRule="auto"/>
        <w:ind w:left="360"/>
        <w:jc w:val="both"/>
        <w:rPr>
          <w:color w:val="EE0000"/>
          <w:lang w:val="en-US"/>
        </w:rPr>
      </w:pPr>
      <w:r w:rsidRPr="00511B3E">
        <w:rPr>
          <w:b/>
          <w:color w:val="000000" w:themeColor="text1"/>
          <w:lang w:val="en-US"/>
        </w:rPr>
        <w:lastRenderedPageBreak/>
        <w:t xml:space="preserve">Directed </w:t>
      </w:r>
      <w:r w:rsidR="00892266" w:rsidRPr="00511B3E">
        <w:rPr>
          <w:b/>
          <w:color w:val="000000" w:themeColor="text1"/>
          <w:lang w:val="en-US"/>
        </w:rPr>
        <w:t>m</w:t>
      </w:r>
      <w:r w:rsidRPr="00511B3E">
        <w:rPr>
          <w:b/>
          <w:color w:val="000000" w:themeColor="text1"/>
          <w:lang w:val="en-US"/>
        </w:rPr>
        <w:t xml:space="preserve">onocyte </w:t>
      </w:r>
      <w:r w:rsidR="00892266" w:rsidRPr="00511B3E">
        <w:rPr>
          <w:b/>
          <w:color w:val="000000" w:themeColor="text1"/>
          <w:lang w:val="en-US"/>
        </w:rPr>
        <w:t>m</w:t>
      </w:r>
      <w:r w:rsidRPr="00511B3E">
        <w:rPr>
          <w:b/>
          <w:color w:val="000000" w:themeColor="text1"/>
          <w:lang w:val="en-US"/>
        </w:rPr>
        <w:t>igration</w:t>
      </w:r>
      <w:r w:rsidRPr="00511B3E">
        <w:rPr>
          <w:color w:val="000000" w:themeColor="text1"/>
          <w:lang w:val="en-US"/>
        </w:rPr>
        <w:t xml:space="preserve">: </w:t>
      </w:r>
      <w:r w:rsidR="00892266" w:rsidRPr="00511B3E">
        <w:rPr>
          <w:color w:val="000000" w:themeColor="text1"/>
          <w:lang w:val="en-US"/>
        </w:rPr>
        <w:t>m</w:t>
      </w:r>
      <w:r w:rsidRPr="00511B3E">
        <w:rPr>
          <w:color w:val="000000" w:themeColor="text1"/>
          <w:lang w:val="en-US"/>
        </w:rPr>
        <w:t>onocytes preferentially migrate</w:t>
      </w:r>
      <w:r w:rsidR="00511B3E" w:rsidRPr="00511B3E">
        <w:rPr>
          <w:color w:val="000000" w:themeColor="text1"/>
          <w:lang w:val="en-US"/>
        </w:rPr>
        <w:t>d</w:t>
      </w:r>
      <w:r w:rsidRPr="00511B3E">
        <w:rPr>
          <w:color w:val="000000" w:themeColor="text1"/>
          <w:lang w:val="en-US"/>
        </w:rPr>
        <w:t xml:space="preserve"> across the BBB in the </w:t>
      </w:r>
      <w:r w:rsidRPr="007526EC">
        <w:rPr>
          <w:color w:val="000000" w:themeColor="text1"/>
          <w:lang w:val="en-US"/>
        </w:rPr>
        <w:t xml:space="preserve">presence of GBM spheroids, consistent with </w:t>
      </w:r>
      <w:r w:rsidR="00511B3E" w:rsidRPr="00511B3E">
        <w:rPr>
          <w:color w:val="EE0000"/>
          <w:lang w:val="en-US"/>
        </w:rPr>
        <w:t xml:space="preserve">prior </w:t>
      </w:r>
      <w:r w:rsidRPr="007526EC">
        <w:rPr>
          <w:color w:val="000000" w:themeColor="text1"/>
          <w:lang w:val="en-US"/>
        </w:rPr>
        <w:t xml:space="preserve">evidence </w:t>
      </w:r>
      <w:r w:rsidR="00511B3E" w:rsidRPr="00511B3E">
        <w:rPr>
          <w:color w:val="EE0000"/>
          <w:lang w:val="en-US"/>
        </w:rPr>
        <w:t xml:space="preserve">of chemotactic recruitment of </w:t>
      </w:r>
      <w:r w:rsidRPr="007526EC">
        <w:rPr>
          <w:color w:val="000000" w:themeColor="text1"/>
          <w:lang w:val="en-US"/>
        </w:rPr>
        <w:t>monocytes and tumor-associated macrophages (TAMs)</w:t>
      </w:r>
      <w:r w:rsidR="00511B3E">
        <w:rPr>
          <w:color w:val="000000" w:themeColor="text1"/>
          <w:lang w:val="en-US"/>
        </w:rPr>
        <w:t xml:space="preserve"> </w:t>
      </w:r>
      <w:r w:rsidR="00B32438" w:rsidRPr="007526EC">
        <w:rPr>
          <w:color w:val="000000" w:themeColor="text1"/>
          <w:lang w:val="en-US"/>
        </w:rPr>
        <w:fldChar w:fldCharType="begin" w:fldLock="1"/>
      </w:r>
      <w:r w:rsidR="004D56B1" w:rsidRPr="007526EC">
        <w:rPr>
          <w:color w:val="000000" w:themeColor="text1"/>
          <w:lang w:val="en-US"/>
        </w:rPr>
        <w:instrText>ADDIN CSL_CITATION {"citationItems":[{"id":"ITEM-1","itemData":{"DOI":"10.3390/brainsci13040542","ISSN":"2076-3425 (Print)","PMID":"37190507","abstract":"Gliomas are primary malignant brain tumors. These tumors seem to be more and more  frequent, not only because of a true increase in their incidence, but also due to the increase in life expectancy of the general population. Among gliomas, malignant gliomas and more specifically glioblastomas (GBM) are a challenge in their diagnosis and treatment. There are few effective therapies for these tumors, and patients with GBM fare poorly, even after aggressive surgery, chemotherapy, and radiation. Over the last decade, it is now appreciated that these tumors are composed of numerous distinct tumoral and non-tumoral cell populations, which could each influence the overall tumor biology and response to therapies. Monocytes have been proved to actively participate in tumor growth, giving rise to the support of tumor-associated macrophages (TAMs). In GBM, TAMs represent up to one half of the tumor mass cells, including both infiltrating macrophages and resident brain microglia. Infiltrating macrophages/monocytes constituted ~ 85% of the total TAM population, they have immune functions, and they can release a wide array of growth factors and cytokines in response to those factors produced by tumor and non-tumor cells from the tumor microenvironment (TME). A brief review of the literature shows that this cell population has been increasingly studied in GBM TME to understand its role in tumor progression and therapeutic resistance. Through the knowledge of its biology and protumoral function, the development of therapeutic strategies that employ their recruitment as well as the modulation of their immunological phenotype, and even the eradication of the cell population, can be harnessed for therapeutic benefit. This revision aims to summarize GBM TME and localization in tumor niches with special focus on TAM population, its origin and functions in tumor progression and resistance to conventional and experimental GBM treatments. Moreover, recent advances on the development of TAM cell targeting and new cellular therapeutic strategies based on monocyte/macrophages recruitment to eradicate GBM are discussed as complementary therapeutics.","author":[{"dropping-particle":"","family":"Caverzán","given":"Matías Daniel","non-dropping-particle":"","parse-names":false,"suffix":""},{"dropping-particle":"","family":"Beaugé","given":"Lucía","non-dropping-particle":"","parse-names":false,"suffix":""},{"dropping-particle":"","family":"Oliveda","given":"Paula Martina","non-dropping-particle":"","parse-names":false,"suffix":""},{"dropping-particle":"","family":"Cesca González","given":"Bruno","non-dropping-particle":"","parse-names":false,"suffix":""},{"dropping-particle":"","family":"Bühler","given":"Eugenia Micaela","non-dropping-particle":"","parse-names":false,"suffix":""},{"dropping-particle":"","family":"Ibarra","given":"Luis Exequiel","non-dropping-particle":"","parse-names":false,"suffix":""}],"container-title":"Brain sciences","id":"ITEM-1","issue":"4","issued":{"date-parts":[["2023","3"]]},"language":"eng","publisher-place":"Switzerland","title":"Exploring Monocytes-Macrophages in Immune Microenvironment of Glioblastoma for  the Design of Novel Therapeutic Strategies.","type":"article-journal","volume":"13"},"uris":["http://www.mendeley.com/documents/?uuid=d683ab37-f991-45de-a934-acd158b7a4be"]}],"mendeley":{"formattedCitation":"&lt;sup&gt;[43]&lt;/sup&gt;","plainTextFormattedCitation":"[43]","previouslyFormattedCitation":"&lt;sup&gt;[43]&lt;/sup&gt;"},"properties":{"noteIndex":0},"schema":"https://github.com/citation-style-language/schema/raw/master/csl-citation.json"}</w:instrText>
      </w:r>
      <w:r w:rsidR="00B32438" w:rsidRPr="007526EC">
        <w:rPr>
          <w:color w:val="000000" w:themeColor="text1"/>
          <w:lang w:val="en-US"/>
        </w:rPr>
        <w:fldChar w:fldCharType="separate"/>
      </w:r>
      <w:r w:rsidR="008A437C" w:rsidRPr="007526EC">
        <w:rPr>
          <w:noProof/>
          <w:color w:val="000000" w:themeColor="text1"/>
          <w:vertAlign w:val="superscript"/>
          <w:lang w:val="en-US"/>
        </w:rPr>
        <w:t>[43]</w:t>
      </w:r>
      <w:r w:rsidR="00B32438" w:rsidRPr="007526EC">
        <w:rPr>
          <w:color w:val="000000" w:themeColor="text1"/>
          <w:lang w:val="en-US"/>
        </w:rPr>
        <w:fldChar w:fldCharType="end"/>
      </w:r>
      <w:r w:rsidR="00F01306" w:rsidRPr="007526EC">
        <w:rPr>
          <w:color w:val="000000" w:themeColor="text1"/>
          <w:lang w:val="en-US"/>
        </w:rPr>
        <w:fldChar w:fldCharType="begin" w:fldLock="1"/>
      </w:r>
      <w:r w:rsidR="004D56B1" w:rsidRPr="007526EC">
        <w:rPr>
          <w:color w:val="000000" w:themeColor="text1"/>
          <w:lang w:val="en-US"/>
        </w:rPr>
        <w:instrText>ADDIN CSL_CITATION {"citationItems":[{"id":"ITEM-1","itemData":{"DOI":"10.1021/acsbiomaterials.5c00783","author":[{"dropping-particle":"","family":"Marway","given":"Mandeep K","non-dropping-particle":"","parse-names":false,"suffix":""},{"dropping-particle":"","family":"Bhagentsang","given":"Dickyi","non-dropping-particle":"","parse-names":false,"suffix":""},{"dropping-particle":"","family":"Venugopal","given":"Chitra","non-dropping-particle":"","parse-names":false,"suffix":""},{"dropping-particle":"","family":"Singh","given":"Sheila K","non-dropping-particle":"","parse-names":false,"suffix":""},{"dropping-particle":"","family":"Wylie","given":"Ryan G","non-dropping-particle":"","parse-names":false,"suffix":""},{"dropping-particle":"","family":"Zhang","given":"Boyang","non-dropping-particle":"","parse-names":false,"suffix":""}],"container-title":"ACS Biomaterials Science &amp; Engineering","id":"ITEM-1","issued":{"date-parts":[["2025","7","17"]]},"note":"doi: 10.1021/acsbiomaterials.5c00783","publisher":"American Chemical Society","title":"Crossing Barriers: In Vitro Cancer Model for Studying Monocyte Migration across Endothelial Barriers","type":"article-journal"},"uris":["http://www.mendeley.com/documents/?uuid=04f3348a-5558-4302-802a-9ae4400a0d70"]}],"mendeley":{"formattedCitation":"&lt;sup&gt;[44]&lt;/sup&gt;","plainTextFormattedCitation":"[44]","previouslyFormattedCitation":"&lt;sup&gt;[44]&lt;/sup&gt;"},"properties":{"noteIndex":0},"schema":"https://github.com/citation-style-language/schema/raw/master/csl-citation.json"}</w:instrText>
      </w:r>
      <w:r w:rsidR="00F01306" w:rsidRPr="007526EC">
        <w:rPr>
          <w:color w:val="000000" w:themeColor="text1"/>
          <w:lang w:val="en-US"/>
        </w:rPr>
        <w:fldChar w:fldCharType="separate"/>
      </w:r>
      <w:r w:rsidR="008A437C" w:rsidRPr="007526EC">
        <w:rPr>
          <w:noProof/>
          <w:color w:val="000000" w:themeColor="text1"/>
          <w:vertAlign w:val="superscript"/>
          <w:lang w:val="en-US"/>
        </w:rPr>
        <w:t>[44]</w:t>
      </w:r>
      <w:r w:rsidR="00F01306" w:rsidRPr="007526EC">
        <w:rPr>
          <w:color w:val="000000" w:themeColor="text1"/>
          <w:lang w:val="en-US"/>
        </w:rPr>
        <w:fldChar w:fldCharType="end"/>
      </w:r>
      <w:r w:rsidR="00B32438" w:rsidRPr="007526EC">
        <w:rPr>
          <w:color w:val="000000" w:themeColor="text1"/>
          <w:lang w:val="en-US"/>
        </w:rPr>
        <w:fldChar w:fldCharType="begin" w:fldLock="1"/>
      </w:r>
      <w:r w:rsidR="004D56B1" w:rsidRPr="007526EC">
        <w:rPr>
          <w:color w:val="000000" w:themeColor="text1"/>
          <w:lang w:val="en-US"/>
        </w:rPr>
        <w:instrText>ADDIN CSL_CITATION {"citationItems":[{"id":"ITEM-1","itemData":{"DOI":"10.3389/fimmu.2022.974996","ISSN":"1664-3224 (Electronic)","PMID":"36275720","abstract":"The glioma tumor microenvironment plays a crucial role in the development,  occurrence, and treatment of gliomas. Glioma-associated macrophages (GAMs) are the most widely infiltrated immune cells in the tumor microenvironment (TME) and one of the major cell populations that exert immune functions. GAMs typically originate from two cell types-brain-resident microglia (BRM) and bone marrow-derived monocytes (BMDM), depending on a variety of cytokines for recruitment and activation. GAMs mainly contain two functionally and morphologically distinct activation types- classically activated M1 macrophages (antitumor/immunostimulatory) and alternatively activated M2 macrophages (protumor/immunosuppressive). GAMs have been shown to affect multiple biological functions of gliomas, including promoting tumor growth and invasion, angiogenesis, energy metabolism, and treatment resistance. Both M1 and M2 macrophages are highly plastic and can polarize or interconvert under various malignant conditions. As the relationship between GAMs and gliomas has become more apparent, GAMs have long been one of the promising targets for glioma therapy, and many studies have demonstrated the therapeutic potential of this target. Here, we review the origin and activation of GAMs in gliomas, how they regulate tumor development and response to therapies, and current glioma therapeutic strategies targeting GAMs.","author":[{"dropping-particle":"","family":"Xu","given":"Can","non-dropping-particle":"","parse-names":false,"suffix":""},{"dropping-particle":"","family":"Xiao","given":"Menglin","non-dropping-particle":"","parse-names":false,"suffix":""},{"dropping-particle":"","family":"Li","given":"Xiang","non-dropping-particle":"","parse-names":false,"suffix":""},{"dropping-particle":"","family":"Xin","given":"Lei","non-dropping-particle":"","parse-names":false,"suffix":""},{"dropping-particle":"","family":"Song","given":"Jia","non-dropping-particle":"","parse-names":false,"suffix":""},{"dropping-particle":"","family":"Zhan","given":"Qi","non-dropping-particle":"","parse-names":false,"suffix":""},{"dropping-particle":"","family":"Wang","given":"Changsheng","non-dropping-particle":"","parse-names":false,"suffix":""},{"dropping-particle":"","family":"Zhang","given":"Qisong","non-dropping-particle":"","parse-names":false,"suffix":""},{"dropping-particle":"","family":"Yuan","given":"Xiaoye","non-dropping-particle":"","parse-names":false,"suffix":""},{"dropping-particle":"","family":"Tan","given":"Yanli","non-dropping-particle":"","parse-names":false,"suffix":""},{"dropping-particle":"","family":"Fang","given":"Chuan","non-dropping-particle":"","parse-names":false,"suffix":""}],"container-title":"Frontiers in immunology","id":"ITEM-1","issued":{"date-parts":[["2022"]]},"language":"eng","page":"974996","publisher-place":"Switzerland","title":"Origin, activation, and targeted therapy of glioma-associated macrophages.","type":"article-journal","volume":"13"},"uris":["http://www.mendeley.com/documents/?uuid=940338bf-269a-473c-9b4e-ff0790e96c5d"]}],"mendeley":{"formattedCitation":"&lt;sup&gt;[45]&lt;/sup&gt;","plainTextFormattedCitation":"[45]","previouslyFormattedCitation":"&lt;sup&gt;[45]&lt;/sup&gt;"},"properties":{"noteIndex":0},"schema":"https://github.com/citation-style-language/schema/raw/master/csl-citation.json"}</w:instrText>
      </w:r>
      <w:r w:rsidR="00B32438" w:rsidRPr="007526EC">
        <w:rPr>
          <w:color w:val="000000" w:themeColor="text1"/>
          <w:lang w:val="en-US"/>
        </w:rPr>
        <w:fldChar w:fldCharType="separate"/>
      </w:r>
      <w:r w:rsidR="008A437C" w:rsidRPr="007526EC">
        <w:rPr>
          <w:noProof/>
          <w:color w:val="000000" w:themeColor="text1"/>
          <w:vertAlign w:val="superscript"/>
          <w:lang w:val="en-US"/>
        </w:rPr>
        <w:t>[45]</w:t>
      </w:r>
      <w:r w:rsidR="00B32438" w:rsidRPr="007526EC">
        <w:rPr>
          <w:color w:val="000000" w:themeColor="text1"/>
          <w:lang w:val="en-US"/>
        </w:rPr>
        <w:fldChar w:fldCharType="end"/>
      </w:r>
      <w:r w:rsidR="00B32438" w:rsidRPr="007526EC">
        <w:rPr>
          <w:color w:val="000000" w:themeColor="text1"/>
          <w:lang w:val="en-US"/>
        </w:rPr>
        <w:t xml:space="preserve"> </w:t>
      </w:r>
      <w:r w:rsidR="00511B3E" w:rsidRPr="00511B3E">
        <w:rPr>
          <w:color w:val="EE0000"/>
          <w:lang w:val="en-US"/>
        </w:rPr>
        <w:t>Ou</w:t>
      </w:r>
      <w:r w:rsidR="00511B3E">
        <w:rPr>
          <w:color w:val="EE0000"/>
          <w:lang w:val="en-US"/>
        </w:rPr>
        <w:t>r</w:t>
      </w:r>
      <w:r w:rsidR="00511B3E" w:rsidRPr="00511B3E">
        <w:rPr>
          <w:color w:val="EE0000"/>
          <w:lang w:val="en-US"/>
        </w:rPr>
        <w:t xml:space="preserve"> hypothesis </w:t>
      </w:r>
      <w:r w:rsidRPr="00511B3E">
        <w:rPr>
          <w:color w:val="EE0000"/>
          <w:lang w:val="en-US"/>
        </w:rPr>
        <w:t xml:space="preserve">is </w:t>
      </w:r>
      <w:r w:rsidR="00511B3E" w:rsidRPr="00511B3E">
        <w:rPr>
          <w:color w:val="EE0000"/>
          <w:lang w:val="en-US"/>
        </w:rPr>
        <w:t>thus</w:t>
      </w:r>
      <w:r w:rsidR="006F4ACA" w:rsidRPr="00511B3E">
        <w:rPr>
          <w:color w:val="EE0000"/>
          <w:lang w:val="en-US"/>
        </w:rPr>
        <w:t xml:space="preserve"> </w:t>
      </w:r>
      <w:r w:rsidRPr="007526EC">
        <w:rPr>
          <w:color w:val="000000" w:themeColor="text1"/>
          <w:lang w:val="en-US"/>
        </w:rPr>
        <w:t xml:space="preserve">that the infiltration of oHSV-1-loaded monocytes into GBM spheroids </w:t>
      </w:r>
      <w:r w:rsidR="00511B3E" w:rsidRPr="00511B3E">
        <w:rPr>
          <w:color w:val="EE0000"/>
          <w:lang w:val="en-US"/>
        </w:rPr>
        <w:t>may</w:t>
      </w:r>
      <w:r w:rsidRPr="00511B3E">
        <w:rPr>
          <w:color w:val="EE0000"/>
          <w:lang w:val="en-US"/>
        </w:rPr>
        <w:t xml:space="preserve"> </w:t>
      </w:r>
      <w:r w:rsidRPr="007526EC">
        <w:rPr>
          <w:color w:val="000000" w:themeColor="text1"/>
          <w:lang w:val="en-US"/>
        </w:rPr>
        <w:t xml:space="preserve">correlate with </w:t>
      </w:r>
      <w:r w:rsidR="006F4ACA" w:rsidRPr="007526EC">
        <w:rPr>
          <w:color w:val="000000" w:themeColor="text1"/>
          <w:lang w:val="en-US"/>
        </w:rPr>
        <w:t>their</w:t>
      </w:r>
      <w:r w:rsidRPr="007526EC">
        <w:rPr>
          <w:color w:val="000000" w:themeColor="text1"/>
          <w:lang w:val="en-US"/>
        </w:rPr>
        <w:t xml:space="preserve"> </w:t>
      </w:r>
      <w:r w:rsidR="00511B3E" w:rsidRPr="00511B3E">
        <w:rPr>
          <w:color w:val="EE0000"/>
          <w:lang w:val="en-US"/>
        </w:rPr>
        <w:t xml:space="preserve">partial </w:t>
      </w:r>
      <w:r w:rsidRPr="007526EC">
        <w:rPr>
          <w:color w:val="000000" w:themeColor="text1"/>
          <w:lang w:val="en-US"/>
        </w:rPr>
        <w:t xml:space="preserve">differentiation into TAM-like </w:t>
      </w:r>
      <w:r w:rsidR="00511B3E" w:rsidRPr="00511B3E">
        <w:rPr>
          <w:color w:val="EE0000"/>
          <w:lang w:val="en-US"/>
        </w:rPr>
        <w:t>phenotypes</w:t>
      </w:r>
      <w:r w:rsidR="00511B3E">
        <w:rPr>
          <w:color w:val="000000" w:themeColor="text1"/>
          <w:lang w:val="en-US"/>
        </w:rPr>
        <w:t xml:space="preserve">. </w:t>
      </w:r>
      <w:r w:rsidR="00511B3E" w:rsidRPr="00511B3E">
        <w:rPr>
          <w:color w:val="EE0000"/>
          <w:lang w:val="en-US"/>
        </w:rPr>
        <w:t>Although not directly tested here, this possibility will be addressed in future studies using lineage and phenotypic markers.</w:t>
      </w:r>
    </w:p>
    <w:p w14:paraId="662135A9" w14:textId="0CD115C0" w:rsidR="0049598D" w:rsidRPr="00771324" w:rsidRDefault="00C71874" w:rsidP="0049598D">
      <w:pPr>
        <w:numPr>
          <w:ilvl w:val="0"/>
          <w:numId w:val="3"/>
        </w:numPr>
        <w:pBdr>
          <w:top w:val="nil"/>
          <w:left w:val="nil"/>
          <w:bottom w:val="nil"/>
          <w:right w:val="nil"/>
          <w:between w:val="nil"/>
        </w:pBdr>
        <w:spacing w:before="120" w:line="276" w:lineRule="auto"/>
        <w:ind w:left="360"/>
        <w:jc w:val="both"/>
        <w:rPr>
          <w:color w:val="000000" w:themeColor="text1"/>
          <w:lang w:val="en-US"/>
        </w:rPr>
      </w:pPr>
      <w:bookmarkStart w:id="1" w:name="_heading=h.hutlsggraw50" w:colFirst="0" w:colLast="0"/>
      <w:bookmarkEnd w:id="1"/>
      <w:r w:rsidRPr="007526EC">
        <w:rPr>
          <w:b/>
          <w:color w:val="000000" w:themeColor="text1"/>
          <w:lang w:val="en-US"/>
        </w:rPr>
        <w:t>Tumor-</w:t>
      </w:r>
      <w:r w:rsidR="00774279" w:rsidRPr="007526EC">
        <w:rPr>
          <w:b/>
          <w:color w:val="000000" w:themeColor="text1"/>
          <w:lang w:val="en-US"/>
        </w:rPr>
        <w:t>t</w:t>
      </w:r>
      <w:r w:rsidRPr="007526EC">
        <w:rPr>
          <w:b/>
          <w:color w:val="000000" w:themeColor="text1"/>
          <w:lang w:val="en-US"/>
        </w:rPr>
        <w:t xml:space="preserve">riggered </w:t>
      </w:r>
      <w:r w:rsidR="00774279" w:rsidRPr="007526EC">
        <w:rPr>
          <w:b/>
          <w:color w:val="000000" w:themeColor="text1"/>
          <w:lang w:val="en-US"/>
        </w:rPr>
        <w:t>v</w:t>
      </w:r>
      <w:r w:rsidRPr="007526EC">
        <w:rPr>
          <w:b/>
          <w:color w:val="000000" w:themeColor="text1"/>
          <w:lang w:val="en-US"/>
        </w:rPr>
        <w:t xml:space="preserve">iral </w:t>
      </w:r>
      <w:r w:rsidR="00774279" w:rsidRPr="007526EC">
        <w:rPr>
          <w:b/>
          <w:color w:val="000000" w:themeColor="text1"/>
          <w:lang w:val="en-US"/>
        </w:rPr>
        <w:t>r</w:t>
      </w:r>
      <w:r w:rsidRPr="007526EC">
        <w:rPr>
          <w:b/>
          <w:color w:val="000000" w:themeColor="text1"/>
          <w:lang w:val="en-US"/>
        </w:rPr>
        <w:t>eplication</w:t>
      </w:r>
      <w:r w:rsidRPr="007526EC">
        <w:rPr>
          <w:color w:val="000000" w:themeColor="text1"/>
          <w:lang w:val="en-US"/>
        </w:rPr>
        <w:t xml:space="preserve">: </w:t>
      </w:r>
      <w:r w:rsidR="006F25E4" w:rsidRPr="007526EC">
        <w:rPr>
          <w:color w:val="000000" w:themeColor="text1"/>
          <w:lang w:val="en-US"/>
        </w:rPr>
        <w:t>i</w:t>
      </w:r>
      <w:r w:rsidRPr="007526EC">
        <w:rPr>
          <w:color w:val="000000" w:themeColor="text1"/>
          <w:lang w:val="en-US"/>
        </w:rPr>
        <w:t xml:space="preserve">nfected monocytes </w:t>
      </w:r>
      <w:r w:rsidR="0049598D">
        <w:rPr>
          <w:color w:val="000000" w:themeColor="text1"/>
          <w:lang w:val="en-US"/>
        </w:rPr>
        <w:t>did</w:t>
      </w:r>
      <w:r w:rsidRPr="007526EC">
        <w:rPr>
          <w:color w:val="000000" w:themeColor="text1"/>
          <w:lang w:val="en-US"/>
        </w:rPr>
        <w:t xml:space="preserve"> not release virus </w:t>
      </w:r>
      <w:r w:rsidR="00774279" w:rsidRPr="007526EC">
        <w:rPr>
          <w:color w:val="000000" w:themeColor="text1"/>
          <w:lang w:val="en-US"/>
        </w:rPr>
        <w:t xml:space="preserve">while in circulation, as </w:t>
      </w:r>
      <w:r w:rsidR="0049598D" w:rsidRPr="0049598D">
        <w:rPr>
          <w:color w:val="EE0000"/>
          <w:lang w:val="en-US"/>
        </w:rPr>
        <w:t>shown</w:t>
      </w:r>
      <w:r w:rsidR="00774279" w:rsidRPr="0049598D">
        <w:rPr>
          <w:color w:val="EE0000"/>
          <w:lang w:val="en-US"/>
        </w:rPr>
        <w:t xml:space="preserve"> </w:t>
      </w:r>
      <w:r w:rsidR="00774279" w:rsidRPr="007526EC">
        <w:rPr>
          <w:color w:val="000000" w:themeColor="text1"/>
          <w:lang w:val="en-US"/>
        </w:rPr>
        <w:t xml:space="preserve">by </w:t>
      </w:r>
      <w:r w:rsidR="0049598D" w:rsidRPr="0049598D">
        <w:rPr>
          <w:color w:val="EE0000"/>
          <w:lang w:val="en-US"/>
        </w:rPr>
        <w:t>minimal</w:t>
      </w:r>
      <w:r w:rsidR="00774279" w:rsidRPr="0049598D">
        <w:rPr>
          <w:color w:val="EE0000"/>
          <w:lang w:val="en-US"/>
        </w:rPr>
        <w:t xml:space="preserve"> </w:t>
      </w:r>
      <w:r w:rsidR="00774279" w:rsidRPr="007526EC">
        <w:rPr>
          <w:color w:val="000000" w:themeColor="text1"/>
          <w:lang w:val="en-US"/>
        </w:rPr>
        <w:t>infection of BBB-resident cells compared to free oHSV-1</w:t>
      </w:r>
      <w:r w:rsidRPr="007526EC">
        <w:rPr>
          <w:color w:val="000000" w:themeColor="text1"/>
          <w:lang w:val="en-US"/>
        </w:rPr>
        <w:t xml:space="preserve">. </w:t>
      </w:r>
      <w:r w:rsidR="00092161" w:rsidRPr="007526EC">
        <w:rPr>
          <w:color w:val="000000" w:themeColor="text1"/>
          <w:lang w:val="en-US"/>
        </w:rPr>
        <w:t>U</w:t>
      </w:r>
      <w:r w:rsidRPr="007526EC">
        <w:rPr>
          <w:color w:val="000000" w:themeColor="text1"/>
          <w:lang w:val="en-US"/>
        </w:rPr>
        <w:t xml:space="preserve">pon reaching GBM spheroids, </w:t>
      </w:r>
      <w:r w:rsidR="00092161" w:rsidRPr="007526EC">
        <w:rPr>
          <w:color w:val="000000" w:themeColor="text1"/>
          <w:lang w:val="en-US"/>
        </w:rPr>
        <w:t xml:space="preserve">however, </w:t>
      </w:r>
      <w:r w:rsidRPr="007526EC">
        <w:rPr>
          <w:color w:val="000000" w:themeColor="text1"/>
          <w:lang w:val="en-US"/>
        </w:rPr>
        <w:t xml:space="preserve">viral replication </w:t>
      </w:r>
      <w:r w:rsidR="00092161" w:rsidRPr="007526EC">
        <w:rPr>
          <w:color w:val="000000" w:themeColor="text1"/>
          <w:lang w:val="en-US"/>
        </w:rPr>
        <w:t>reactivated</w:t>
      </w:r>
      <w:r w:rsidRPr="007526EC">
        <w:rPr>
          <w:color w:val="000000" w:themeColor="text1"/>
          <w:lang w:val="en-US"/>
        </w:rPr>
        <w:t xml:space="preserve">, leading to </w:t>
      </w:r>
      <w:r w:rsidR="00174151" w:rsidRPr="00174151">
        <w:rPr>
          <w:color w:val="EE0000"/>
          <w:lang w:val="en-US"/>
        </w:rPr>
        <w:t xml:space="preserve">targeted </w:t>
      </w:r>
      <w:r w:rsidRPr="007526EC">
        <w:rPr>
          <w:color w:val="000000" w:themeColor="text1"/>
          <w:lang w:val="en-US"/>
        </w:rPr>
        <w:t xml:space="preserve">tumor cell </w:t>
      </w:r>
      <w:r w:rsidR="00174151" w:rsidRPr="00174151">
        <w:rPr>
          <w:color w:val="EE0000"/>
          <w:lang w:val="en-US"/>
        </w:rPr>
        <w:t>killing</w:t>
      </w:r>
      <w:r w:rsidR="00174151">
        <w:rPr>
          <w:color w:val="000000" w:themeColor="text1"/>
          <w:lang w:val="en-US"/>
        </w:rPr>
        <w:t xml:space="preserve">. </w:t>
      </w:r>
      <w:r w:rsidRPr="007526EC">
        <w:rPr>
          <w:color w:val="000000" w:themeColor="text1"/>
          <w:lang w:val="en-US"/>
        </w:rPr>
        <w:t xml:space="preserve">These </w:t>
      </w:r>
      <w:r w:rsidR="00477C8A" w:rsidRPr="00477C8A">
        <w:rPr>
          <w:color w:val="EE0000"/>
          <w:lang w:val="en-US"/>
        </w:rPr>
        <w:t>results</w:t>
      </w:r>
      <w:r w:rsidRPr="00477C8A">
        <w:rPr>
          <w:color w:val="EE0000"/>
          <w:lang w:val="en-US"/>
        </w:rPr>
        <w:t xml:space="preserve"> </w:t>
      </w:r>
      <w:r w:rsidRPr="007526EC">
        <w:rPr>
          <w:color w:val="000000" w:themeColor="text1"/>
          <w:lang w:val="en-US"/>
        </w:rPr>
        <w:t>support the feasibility of using monocytes as safe</w:t>
      </w:r>
      <w:r w:rsidR="00092161" w:rsidRPr="007526EC">
        <w:rPr>
          <w:color w:val="000000" w:themeColor="text1"/>
          <w:lang w:val="en-US"/>
        </w:rPr>
        <w:t xml:space="preserve"> and</w:t>
      </w:r>
      <w:r w:rsidRPr="007526EC">
        <w:rPr>
          <w:color w:val="000000" w:themeColor="text1"/>
          <w:lang w:val="en-US"/>
        </w:rPr>
        <w:t xml:space="preserve"> </w:t>
      </w:r>
      <w:r w:rsidR="00604C3B" w:rsidRPr="00604C3B">
        <w:rPr>
          <w:color w:val="EE0000"/>
          <w:lang w:val="en-US"/>
        </w:rPr>
        <w:t>effective</w:t>
      </w:r>
      <w:r w:rsidRPr="00604C3B">
        <w:rPr>
          <w:color w:val="EE0000"/>
          <w:lang w:val="en-US"/>
        </w:rPr>
        <w:t xml:space="preserve"> </w:t>
      </w:r>
      <w:r w:rsidRPr="007526EC">
        <w:rPr>
          <w:color w:val="000000" w:themeColor="text1"/>
          <w:lang w:val="en-US"/>
        </w:rPr>
        <w:t xml:space="preserve">viral carriers. </w:t>
      </w:r>
      <w:r w:rsidR="00604C3B">
        <w:rPr>
          <w:color w:val="EE0000"/>
          <w:lang w:val="en-US"/>
        </w:rPr>
        <w:t>We hypothesize</w:t>
      </w:r>
      <w:r w:rsidR="00604C3B" w:rsidRPr="00511B3E">
        <w:rPr>
          <w:color w:val="EE0000"/>
          <w:lang w:val="en-US"/>
        </w:rPr>
        <w:t xml:space="preserve"> </w:t>
      </w:r>
      <w:r w:rsidR="00604C3B">
        <w:rPr>
          <w:color w:val="EE0000"/>
          <w:lang w:val="en-US"/>
        </w:rPr>
        <w:t>that t</w:t>
      </w:r>
      <w:r w:rsidR="00604C3B" w:rsidRPr="0049598D">
        <w:rPr>
          <w:color w:val="EE0000"/>
          <w:lang w:val="en-US"/>
        </w:rPr>
        <w:t xml:space="preserve">umor-induced differentiation </w:t>
      </w:r>
      <w:r w:rsidRPr="007526EC">
        <w:rPr>
          <w:color w:val="000000" w:themeColor="text1"/>
          <w:lang w:val="en-US"/>
        </w:rPr>
        <w:t>may enhance HSV-1 permissiveness</w:t>
      </w:r>
      <w:r w:rsidR="00604C3B">
        <w:rPr>
          <w:color w:val="000000" w:themeColor="text1"/>
          <w:lang w:val="en-US"/>
        </w:rPr>
        <w:t xml:space="preserve"> </w:t>
      </w:r>
      <w:r w:rsidR="00604C3B" w:rsidRPr="00604C3B">
        <w:rPr>
          <w:color w:val="EE0000"/>
          <w:lang w:val="en-US"/>
        </w:rPr>
        <w:t>in monocytes</w:t>
      </w:r>
      <w:r w:rsidRPr="007526EC">
        <w:rPr>
          <w:color w:val="000000" w:themeColor="text1"/>
          <w:lang w:val="en-US"/>
        </w:rPr>
        <w:t xml:space="preserve">, as suggested by </w:t>
      </w:r>
      <w:r w:rsidR="007924E3" w:rsidRPr="007924E3">
        <w:rPr>
          <w:color w:val="EE0000"/>
          <w:lang w:val="en-US"/>
        </w:rPr>
        <w:t>earlier</w:t>
      </w:r>
      <w:r w:rsidRPr="007924E3">
        <w:rPr>
          <w:color w:val="EE0000"/>
          <w:lang w:val="en-US"/>
        </w:rPr>
        <w:t xml:space="preserve"> </w:t>
      </w:r>
      <w:r w:rsidRPr="007526EC">
        <w:rPr>
          <w:color w:val="000000" w:themeColor="text1"/>
          <w:lang w:val="en-US"/>
        </w:rPr>
        <w:t>reports</w:t>
      </w:r>
      <w:r w:rsidR="007924E3">
        <w:rPr>
          <w:color w:val="000000" w:themeColor="text1"/>
          <w:lang w:val="en-US"/>
        </w:rPr>
        <w:t xml:space="preserve">. </w:t>
      </w:r>
      <w:r w:rsidR="00B32438" w:rsidRPr="007526EC">
        <w:rPr>
          <w:color w:val="000000" w:themeColor="text1"/>
          <w:lang w:val="en-US"/>
        </w:rPr>
        <w:fldChar w:fldCharType="begin" w:fldLock="1"/>
      </w:r>
      <w:r w:rsidR="004D56B1" w:rsidRPr="007526EC">
        <w:rPr>
          <w:color w:val="000000" w:themeColor="text1"/>
          <w:lang w:val="en-US"/>
        </w:rPr>
        <w:instrText>ADDIN CSL_CITATION {"citationItems":[{"id":"ITEM-1","itemData":{"DOI":"10.1016/0042-6822(83)90112-5","ISSN":"0042-6822 (Print)","PMID":"6195813","abstract":"Exposure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author":[{"dropping-particle":"","family":"Linnavuori","given":"K","non-dropping-particle":"","parse-names":false,"suffix":""},{"dropping-particle":"","family":"Hovi","given":"T","non-dropping-particle":"","parse-names":false,"suffix":""}],"container-title":"Virology","id":"ITEM-1","issue":"1","issued":{"date-parts":[["1983","10"]]},"language":"eng","page":"1-9","publisher-place":"United States","title":"Restricted replication of herpes simplex virus in human monocyte cultures: role  of interferon.","type":"article-journal","volume":"130"},"uris":["http://www.mendeley.com/documents/?uuid=b2f00b96-b9d9-4b04-bd95-068ea0921f45"]},{"id":"ITEM-2","itemData":{"DOI":"10.1099/0022-1317-52-2-381","ISSN":"0022-1317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virology","id":"ITEM-2","issue":"Pt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mendeley":{"formattedCitation":"&lt;sup&gt;[34,46]&lt;/sup&gt;","plainTextFormattedCitation":"[34,46]","previouslyFormattedCitation":"&lt;sup&gt;[34,46]&lt;/sup&gt;"},"properties":{"noteIndex":0},"schema":"https://github.com/citation-style-language/schema/raw/master/csl-citation.json"}</w:instrText>
      </w:r>
      <w:r w:rsidR="00B32438" w:rsidRPr="007526EC">
        <w:rPr>
          <w:color w:val="000000" w:themeColor="text1"/>
          <w:lang w:val="en-US"/>
        </w:rPr>
        <w:fldChar w:fldCharType="separate"/>
      </w:r>
      <w:r w:rsidR="008A437C" w:rsidRPr="007526EC">
        <w:rPr>
          <w:noProof/>
          <w:color w:val="000000" w:themeColor="text1"/>
          <w:vertAlign w:val="superscript"/>
          <w:lang w:val="en-US"/>
        </w:rPr>
        <w:t>[34,46]</w:t>
      </w:r>
      <w:r w:rsidR="00B32438" w:rsidRPr="007526EC">
        <w:rPr>
          <w:color w:val="000000" w:themeColor="text1"/>
          <w:lang w:val="en-US"/>
        </w:rPr>
        <w:fldChar w:fldCharType="end"/>
      </w:r>
      <w:r w:rsidRPr="007526EC">
        <w:rPr>
          <w:color w:val="000000" w:themeColor="text1"/>
          <w:lang w:val="en-US"/>
        </w:rPr>
        <w:t xml:space="preserve"> Our </w:t>
      </w:r>
      <w:r w:rsidR="00771324" w:rsidRPr="0049598D">
        <w:rPr>
          <w:color w:val="EE0000"/>
          <w:lang w:val="en-US"/>
        </w:rPr>
        <w:t xml:space="preserve">BBB-on-chip system </w:t>
      </w:r>
      <w:r w:rsidRPr="007526EC">
        <w:rPr>
          <w:color w:val="000000" w:themeColor="text1"/>
          <w:lang w:val="en-US"/>
        </w:rPr>
        <w:t xml:space="preserve">provides a </w:t>
      </w:r>
      <w:r w:rsidR="00092161" w:rsidRPr="007526EC">
        <w:rPr>
          <w:color w:val="000000" w:themeColor="text1"/>
          <w:lang w:val="en-US"/>
        </w:rPr>
        <w:t xml:space="preserve">suitable </w:t>
      </w:r>
      <w:r w:rsidRPr="007526EC">
        <w:rPr>
          <w:color w:val="000000" w:themeColor="text1"/>
          <w:lang w:val="en-US"/>
        </w:rPr>
        <w:t xml:space="preserve">platform to </w:t>
      </w:r>
      <w:r w:rsidR="00092161" w:rsidRPr="007526EC">
        <w:rPr>
          <w:color w:val="000000" w:themeColor="text1"/>
          <w:lang w:val="en-US"/>
        </w:rPr>
        <w:t>explore</w:t>
      </w:r>
      <w:r w:rsidRPr="007526EC">
        <w:rPr>
          <w:color w:val="000000" w:themeColor="text1"/>
          <w:lang w:val="en-US"/>
        </w:rPr>
        <w:t xml:space="preserve"> this </w:t>
      </w:r>
      <w:r w:rsidR="00771324" w:rsidRPr="0049598D">
        <w:rPr>
          <w:color w:val="EE0000"/>
          <w:lang w:val="en-US"/>
        </w:rPr>
        <w:t>mechanism in future work through transcriptomic and protein-level analyses</w:t>
      </w:r>
      <w:r w:rsidRPr="007526EC">
        <w:rPr>
          <w:color w:val="000000" w:themeColor="text1"/>
          <w:lang w:val="en-US"/>
        </w:rPr>
        <w:t>.</w:t>
      </w:r>
    </w:p>
    <w:p w14:paraId="00000050" w14:textId="333C40D4" w:rsidR="00234C7D" w:rsidRPr="00936188" w:rsidRDefault="00C71874" w:rsidP="0022470E">
      <w:pPr>
        <w:numPr>
          <w:ilvl w:val="0"/>
          <w:numId w:val="3"/>
        </w:numPr>
        <w:pBdr>
          <w:top w:val="nil"/>
          <w:left w:val="nil"/>
          <w:bottom w:val="nil"/>
          <w:right w:val="nil"/>
          <w:between w:val="nil"/>
        </w:pBdr>
        <w:spacing w:before="120" w:line="276" w:lineRule="auto"/>
        <w:ind w:left="360"/>
        <w:jc w:val="both"/>
        <w:rPr>
          <w:color w:val="EE0000"/>
          <w:lang w:val="en-US"/>
        </w:rPr>
      </w:pPr>
      <w:r w:rsidRPr="007526EC">
        <w:rPr>
          <w:b/>
          <w:color w:val="000000" w:themeColor="text1"/>
          <w:lang w:val="en-US"/>
        </w:rPr>
        <w:t xml:space="preserve">Immune </w:t>
      </w:r>
      <w:r w:rsidR="006F25E4" w:rsidRPr="007526EC">
        <w:rPr>
          <w:b/>
          <w:color w:val="000000" w:themeColor="text1"/>
          <w:lang w:val="en-US"/>
        </w:rPr>
        <w:t>s</w:t>
      </w:r>
      <w:r w:rsidRPr="007526EC">
        <w:rPr>
          <w:b/>
          <w:color w:val="000000" w:themeColor="text1"/>
          <w:lang w:val="en-US"/>
        </w:rPr>
        <w:t>hielding</w:t>
      </w:r>
      <w:r w:rsidRPr="007526EC">
        <w:rPr>
          <w:color w:val="000000" w:themeColor="text1"/>
          <w:lang w:val="en-US"/>
        </w:rPr>
        <w:t xml:space="preserve">: oHSV-1 </w:t>
      </w:r>
      <w:r w:rsidR="00936188" w:rsidRPr="00936188">
        <w:rPr>
          <w:color w:val="EE0000"/>
          <w:lang w:val="en-US"/>
        </w:rPr>
        <w:t>transported</w:t>
      </w:r>
      <w:r w:rsidRPr="00936188">
        <w:rPr>
          <w:color w:val="EE0000"/>
          <w:lang w:val="en-US"/>
        </w:rPr>
        <w:t xml:space="preserve"> </w:t>
      </w:r>
      <w:r w:rsidRPr="007526EC">
        <w:rPr>
          <w:color w:val="000000" w:themeColor="text1"/>
          <w:lang w:val="en-US"/>
        </w:rPr>
        <w:t xml:space="preserve">by monocytes </w:t>
      </w:r>
      <w:r w:rsidR="00936188" w:rsidRPr="00936188">
        <w:rPr>
          <w:color w:val="EE0000"/>
          <w:lang w:val="en-US"/>
        </w:rPr>
        <w:t>remained</w:t>
      </w:r>
      <w:r w:rsidRPr="00936188">
        <w:rPr>
          <w:color w:val="EE0000"/>
          <w:lang w:val="en-US"/>
        </w:rPr>
        <w:t xml:space="preserve"> </w:t>
      </w:r>
      <w:r w:rsidRPr="007526EC">
        <w:rPr>
          <w:color w:val="000000" w:themeColor="text1"/>
          <w:lang w:val="en-US"/>
        </w:rPr>
        <w:t>protected from neutralizing antibodies</w:t>
      </w:r>
      <w:r w:rsidR="00936188">
        <w:rPr>
          <w:color w:val="000000" w:themeColor="text1"/>
          <w:lang w:val="en-US"/>
        </w:rPr>
        <w:t xml:space="preserve">, </w:t>
      </w:r>
      <w:r w:rsidR="00936188" w:rsidRPr="00936188">
        <w:rPr>
          <w:color w:val="EE0000"/>
          <w:lang w:val="en-US"/>
        </w:rPr>
        <w:t xml:space="preserve">maintaining </w:t>
      </w:r>
      <w:r w:rsidRPr="00936188">
        <w:rPr>
          <w:color w:val="EE0000"/>
          <w:lang w:val="en-US"/>
        </w:rPr>
        <w:t>robust</w:t>
      </w:r>
      <w:r w:rsidR="00936188" w:rsidRPr="00936188">
        <w:rPr>
          <w:color w:val="EE0000"/>
          <w:lang w:val="en-US"/>
        </w:rPr>
        <w:t xml:space="preserve"> </w:t>
      </w:r>
      <w:r w:rsidR="00936188" w:rsidRPr="00936188">
        <w:rPr>
          <w:color w:val="EE0000"/>
          <w:lang w:val="en-US"/>
        </w:rPr>
        <w:t xml:space="preserve">delivery and infection even in the presence of hyperimmune </w:t>
      </w:r>
      <w:proofErr w:type="spellStart"/>
      <w:r w:rsidR="00936188" w:rsidRPr="00936188">
        <w:rPr>
          <w:color w:val="EE0000"/>
          <w:lang w:val="en-US"/>
        </w:rPr>
        <w:t>IgGs</w:t>
      </w:r>
      <w:proofErr w:type="spellEnd"/>
      <w:r w:rsidR="00936188" w:rsidRPr="00936188">
        <w:rPr>
          <w:color w:val="EE0000"/>
          <w:lang w:val="en-US"/>
        </w:rPr>
        <w:t>, unlike the free virus.</w:t>
      </w:r>
    </w:p>
    <w:p w14:paraId="00000051" w14:textId="21BB0B40" w:rsidR="00234C7D" w:rsidRPr="00B56C84" w:rsidRDefault="00C71874" w:rsidP="00936188">
      <w:pPr>
        <w:numPr>
          <w:ilvl w:val="0"/>
          <w:numId w:val="3"/>
        </w:numPr>
        <w:pBdr>
          <w:top w:val="nil"/>
          <w:left w:val="nil"/>
          <w:bottom w:val="nil"/>
          <w:right w:val="nil"/>
          <w:between w:val="nil"/>
        </w:pBdr>
        <w:spacing w:before="120" w:after="160" w:line="276" w:lineRule="auto"/>
        <w:ind w:left="360"/>
        <w:jc w:val="both"/>
        <w:rPr>
          <w:color w:val="EE0000"/>
          <w:lang w:val="en-US"/>
        </w:rPr>
      </w:pPr>
      <w:r w:rsidRPr="007526EC">
        <w:rPr>
          <w:b/>
          <w:color w:val="000000" w:themeColor="text1"/>
          <w:lang w:val="en-US"/>
        </w:rPr>
        <w:t xml:space="preserve">Localized </w:t>
      </w:r>
      <w:r w:rsidR="006F25E4" w:rsidRPr="007526EC">
        <w:rPr>
          <w:b/>
          <w:color w:val="000000" w:themeColor="text1"/>
          <w:lang w:val="en-US"/>
        </w:rPr>
        <w:t>i</w:t>
      </w:r>
      <w:r w:rsidRPr="007526EC">
        <w:rPr>
          <w:b/>
          <w:color w:val="000000" w:themeColor="text1"/>
          <w:lang w:val="en-US"/>
        </w:rPr>
        <w:t xml:space="preserve">nfection </w:t>
      </w:r>
      <w:r w:rsidR="006F25E4" w:rsidRPr="007526EC">
        <w:rPr>
          <w:b/>
          <w:color w:val="000000" w:themeColor="text1"/>
          <w:lang w:val="en-US"/>
        </w:rPr>
        <w:t>c</w:t>
      </w:r>
      <w:r w:rsidRPr="007526EC">
        <w:rPr>
          <w:b/>
          <w:color w:val="000000" w:themeColor="text1"/>
          <w:lang w:val="en-US"/>
        </w:rPr>
        <w:t>ontrol</w:t>
      </w:r>
      <w:r w:rsidRPr="007526EC">
        <w:rPr>
          <w:color w:val="000000" w:themeColor="text1"/>
          <w:lang w:val="en-US"/>
        </w:rPr>
        <w:t xml:space="preserve">: </w:t>
      </w:r>
      <w:r w:rsidR="006F25E4" w:rsidRPr="007526EC">
        <w:rPr>
          <w:color w:val="000000" w:themeColor="text1"/>
          <w:lang w:val="en-US"/>
        </w:rPr>
        <w:t>m</w:t>
      </w:r>
      <w:r w:rsidRPr="007526EC">
        <w:rPr>
          <w:color w:val="000000" w:themeColor="text1"/>
          <w:lang w:val="en-US"/>
        </w:rPr>
        <w:t>onocyte</w:t>
      </w:r>
      <w:r w:rsidR="006F25E4" w:rsidRPr="007526EC">
        <w:rPr>
          <w:color w:val="000000" w:themeColor="text1"/>
          <w:lang w:val="en-US"/>
        </w:rPr>
        <w:t xml:space="preserve">-mediated </w:t>
      </w:r>
      <w:r w:rsidR="00B56C84" w:rsidRPr="00B56C84">
        <w:rPr>
          <w:color w:val="EE0000"/>
          <w:lang w:val="en-US"/>
        </w:rPr>
        <w:t>transport</w:t>
      </w:r>
      <w:r w:rsidR="006F25E4" w:rsidRPr="00B56C84">
        <w:rPr>
          <w:color w:val="EE0000"/>
          <w:lang w:val="en-US"/>
        </w:rPr>
        <w:t xml:space="preserve"> </w:t>
      </w:r>
      <w:r w:rsidR="006F25E4" w:rsidRPr="007526EC">
        <w:rPr>
          <w:color w:val="000000" w:themeColor="text1"/>
          <w:lang w:val="en-US"/>
        </w:rPr>
        <w:t>restrict</w:t>
      </w:r>
      <w:r w:rsidR="00B56C84" w:rsidRPr="00B56C84">
        <w:rPr>
          <w:color w:val="EE0000"/>
          <w:lang w:val="en-US"/>
        </w:rPr>
        <w:t>ed</w:t>
      </w:r>
      <w:r w:rsidR="006F25E4" w:rsidRPr="007526EC">
        <w:rPr>
          <w:color w:val="000000" w:themeColor="text1"/>
          <w:lang w:val="en-US"/>
        </w:rPr>
        <w:t xml:space="preserve"> viral infection to tumor </w:t>
      </w:r>
      <w:r w:rsidR="00B56C84" w:rsidRPr="00B56C84">
        <w:rPr>
          <w:color w:val="EE0000"/>
          <w:lang w:val="en-US"/>
        </w:rPr>
        <w:t>regions</w:t>
      </w:r>
      <w:r w:rsidRPr="007526EC">
        <w:rPr>
          <w:color w:val="000000" w:themeColor="text1"/>
          <w:lang w:val="en-US"/>
        </w:rPr>
        <w:t xml:space="preserve">, </w:t>
      </w:r>
      <w:r w:rsidR="006F25E4" w:rsidRPr="007526EC">
        <w:rPr>
          <w:color w:val="000000" w:themeColor="text1"/>
          <w:lang w:val="en-US"/>
        </w:rPr>
        <w:t>minimizing off-target infection of BBB-resident cells</w:t>
      </w:r>
      <w:r w:rsidR="00B56C84" w:rsidRPr="00B56C84">
        <w:rPr>
          <w:color w:val="000000" w:themeColor="text1"/>
          <w:lang w:val="en-US"/>
        </w:rPr>
        <w:t xml:space="preserve"> </w:t>
      </w:r>
      <w:r w:rsidR="00B56C84" w:rsidRPr="00B56C84">
        <w:rPr>
          <w:color w:val="EE0000"/>
          <w:lang w:val="en-US"/>
        </w:rPr>
        <w:t xml:space="preserve">and supporting the safety of </w:t>
      </w:r>
      <w:proofErr w:type="spellStart"/>
      <w:r w:rsidR="00B56C84" w:rsidRPr="00B56C84">
        <w:rPr>
          <w:color w:val="EE0000"/>
          <w:lang w:val="en-US"/>
        </w:rPr>
        <w:t>this approach</w:t>
      </w:r>
      <w:proofErr w:type="spellEnd"/>
      <w:r w:rsidR="00B56C84">
        <w:rPr>
          <w:color w:val="EE0000"/>
          <w:lang w:val="en-US"/>
        </w:rPr>
        <w:t>.</w:t>
      </w:r>
    </w:p>
    <w:p w14:paraId="00000052" w14:textId="7C3C965C" w:rsidR="00234C7D" w:rsidRPr="007526EC" w:rsidRDefault="00184818" w:rsidP="001F4C35">
      <w:pPr>
        <w:pBdr>
          <w:top w:val="nil"/>
          <w:left w:val="nil"/>
          <w:bottom w:val="nil"/>
          <w:right w:val="nil"/>
          <w:between w:val="nil"/>
        </w:pBdr>
        <w:spacing w:line="276" w:lineRule="auto"/>
        <w:jc w:val="both"/>
        <w:rPr>
          <w:color w:val="000000" w:themeColor="text1"/>
          <w:lang w:val="en-US"/>
        </w:rPr>
      </w:pPr>
      <w:r w:rsidRPr="00184818">
        <w:rPr>
          <w:color w:val="EE0000"/>
          <w:lang w:val="en-US"/>
        </w:rPr>
        <w:t>While non-cellular nanocarriers such as magnetic nanoparticles</w:t>
      </w:r>
      <w:r>
        <w:rPr>
          <w:color w:val="000000" w:themeColor="text1"/>
          <w:lang w:val="en-US"/>
        </w:rPr>
        <w:t xml:space="preserve"> </w:t>
      </w:r>
      <w:r w:rsidR="003A19BE" w:rsidRPr="007526EC">
        <w:rPr>
          <w:color w:val="000000" w:themeColor="text1"/>
          <w:lang w:val="en-US"/>
        </w:rPr>
        <w:fldChar w:fldCharType="begin" w:fldLock="1"/>
      </w:r>
      <w:r w:rsidR="004D56B1" w:rsidRPr="007526EC">
        <w:rPr>
          <w:color w:val="000000" w:themeColor="text1"/>
          <w:lang w:val="en-US"/>
        </w:rPr>
        <w:instrText>ADDIN CSL_CITATION {"citationItems":[{"id":"ITEM-1","itemData":{"DOI":"https://doi.org/10.1002/smll.202104763","abstract":"Abstract The survival strategies of infectious organisms have inspired many therapeutics over the years. Indeed the advent of oncolytic viruses (OVs) exploits the uncontrolled replication of cancer cells for production of their progeny resulting in a cancer-targeting treatment that leaves healthy cells unharmed. Their success against inaccessible tumors however, is highly variable due to inadequate tumor targeting following systemic administration. Coassembling herpes simplex virus (HSV1716) with biocompatible magnetic nanoparticles derived from magnetotactic bacteria enables tumor targeting from circulation with magnetic guidance, protects the virus against neutralizing antibodies and thereby enhances viral replication within tumors. This approach additionally enhances the intratumoral recruitment of activated immune cells, promotes antitumor immunity and immune cell death, thereby inducing tumor shrinkage and increasing survival in a syngeneic mouse model of breast cancer by 50\\%. Exploiting the properties of such a nanocarrier, rather than tropism of the virus, for active tumor targeting offers an exciting, novel approach for enhancing the bioavailability and treatment efficacy of tumor immunotherapies for disseminated neoplasms.","author":[{"dropping-particle":"","family":"Howard","given":"Faith H N","non-dropping-particle":"","parse-names":false,"suffix":""},{"dropping-particle":"","family":"Al-Janabi","given":"Haider","non-dropping-particle":"","parse-names":false,"suffix":""},{"dropping-particle":"","family":"Patel","given":"Priya","non-dropping-particle":"","parse-names":false,"suffix":""},{"dropping-particle":"","family":"Cox","given":"Katie","non-dropping-particle":"","parse-names":false,"suffix":""},{"dropping-particle":"","family":"Smith","given":"Emily","non-dropping-particle":"","parse-names":false,"suffix":""},{"dropping-particle":"","family":"Vadakekolathu","given":"Jayakumar","non-dropping-particle":"","parse-names":false,"suffix":""},{"dropping-particle":"","family":"Pockley","given":"A Graham","non-dropping-particle":"","parse-names":false,"suffix":""},{"dropping-particle":"","family":"Conner","given":"Joe","non-dropping-particle":"","parse-names":false,"suffix":""},{"dropping-particle":"","family":"Nohl","given":"James F","non-dropping-particle":"","parse-names":false,"suffix":""},{"dropping-particle":"","family":"Allwood","given":"Dan A","non-dropping-particle":"","parse-names":false,"suffix":""},{"dropping-particle":"","family":"Collado-Rojas","given":"Cristal","non-dropping-particle":"","parse-names":false,"suffix":""},{"dropping-particle":"","family":"Kennerley","given":"Aneurin","non-dropping-particle":"","parse-names":false,"suffix":""},{"dropping-particle":"","family":"Staniland","given":"Sarah","non-dropping-particle":"","parse-names":false,"suffix":""},{"dropping-particle":"","family":"Muthana","given":"Munitta","non-dropping-particle":"","parse-names":false,"suffix":""}],"container-title":"Small","id":"ITEM-1","issue":"13","issued":{"date-parts":[["2022"]]},"page":"2104763","title":"Nanobugs as Drugs: Bacterial Derived Nanomagnets Enhance Tumor Targeting and Oncolytic Activity of HSV-1 Virus","type":"article-journal","volume":"18"},"uris":["http://www.mendeley.com/documents/?uuid=4d8a634b-d485-458d-9bf0-899ab49a882c"]}],"mendeley":{"formattedCitation":"&lt;sup&gt;[47]&lt;/sup&gt;","plainTextFormattedCitation":"[47]","previouslyFormattedCitation":"&lt;sup&gt;[47]&lt;/sup&gt;"},"properties":{"noteIndex":0},"schema":"https://github.com/citation-style-language/schema/raw/master/csl-citation.json"}</w:instrText>
      </w:r>
      <w:r w:rsidR="003A19BE" w:rsidRPr="007526EC">
        <w:rPr>
          <w:color w:val="000000" w:themeColor="text1"/>
          <w:lang w:val="en-US"/>
        </w:rPr>
        <w:fldChar w:fldCharType="separate"/>
      </w:r>
      <w:r w:rsidR="008A437C" w:rsidRPr="007526EC">
        <w:rPr>
          <w:noProof/>
          <w:color w:val="000000" w:themeColor="text1"/>
          <w:vertAlign w:val="superscript"/>
          <w:lang w:val="en-US"/>
        </w:rPr>
        <w:t>[47]</w:t>
      </w:r>
      <w:r w:rsidR="003A19BE" w:rsidRPr="007526EC">
        <w:rPr>
          <w:color w:val="000000" w:themeColor="text1"/>
          <w:lang w:val="en-US"/>
        </w:rPr>
        <w:fldChar w:fldCharType="end"/>
      </w:r>
      <w:r w:rsidR="00C71874" w:rsidRPr="007526EC">
        <w:rPr>
          <w:color w:val="000000" w:themeColor="text1"/>
          <w:lang w:val="en-US"/>
        </w:rPr>
        <w:t xml:space="preserve"> </w:t>
      </w:r>
      <w:r w:rsidRPr="00184818">
        <w:rPr>
          <w:color w:val="EE0000"/>
          <w:lang w:val="en-US"/>
        </w:rPr>
        <w:t>or nucleic acid formulations</w:t>
      </w:r>
      <w:r w:rsidRPr="007526EC">
        <w:rPr>
          <w:color w:val="000000" w:themeColor="text1"/>
          <w:lang w:val="en-US"/>
        </w:rPr>
        <w:t xml:space="preserve"> </w:t>
      </w:r>
      <w:r w:rsidR="003A19BE" w:rsidRPr="007526EC">
        <w:rPr>
          <w:color w:val="000000" w:themeColor="text1"/>
          <w:lang w:val="en-US"/>
        </w:rPr>
        <w:fldChar w:fldCharType="begin" w:fldLock="1"/>
      </w:r>
      <w:r w:rsidR="004D56B1" w:rsidRPr="007526EC">
        <w:rPr>
          <w:color w:val="000000" w:themeColor="text1"/>
          <w:lang w:val="en-US"/>
        </w:rPr>
        <w:instrText>ADDIN CSL_CITATION {"citationItems":[{"id":"ITEM-1","itemData":{"DOI":"https://doi.org/10.1002/advs.202201740","abstract":"Abstract Central Nervous System (CNS) diseases, such as Alzheimer's diseases (AD), Parkinson's Diseases (PD), brain tumors, Huntington's disease (HD), and stroke, still remain difficult to treat by the conventional molecular drugs. In recent years, various gene therapies have come into the spotlight as versatile therapeutics providing the potential to prevent and treat these diseases. Despite the significant progress that has undoubtedly been achieved in terms of the design and modification of genetic modulators with desired potency and minimized unwanted immune responses, the efficient and safe in vivo delivery of gene therapies still poses major translational challenges. Various non-viral nanomedicines have been recently explored to circumvent this limitation. In this review, an overview of gene therapies for CNS diseases is provided and describes recent advances in the development of nanomedicines, including their unique characteristics, chemical modifications, bioconjugations, and the specific applications that those nanomedicines are harnessed to deliver gene therapies.","author":[{"dropping-particle":"","family":"Luo","given":"Meihua","non-dropping-particle":"","parse-names":false,"suffix":""},{"dropping-particle":"","family":"Lee","given":"Leo Kit Cheung","non-dropping-particle":"","parse-names":false,"suffix":""},{"dropping-particle":"","family":"Peng","given":"Bo","non-dropping-particle":"","parse-names":false,"suffix":""},{"dropping-particle":"","family":"Choi","given":"Chung Hang Jonathan","non-dropping-particle":"","parse-names":false,"suffix":""},{"dropping-particle":"","family":"Tong","given":"Wing Yin","non-dropping-particle":"","parse-names":false,"suffix":""},{"dropping-particle":"","family":"Voelcker","given":"Nicolas H","non-dropping-particle":"","parse-names":false,"suffix":""}],"container-title":"Advanced Science","id":"ITEM-1","issue":"26","issued":{"date-parts":[["2022"]]},"page":"2201740","title":"Delivering the Promise of Gene Therapy with Nanomedicines in Treating Central Nervous System Diseases","type":"article-journal","volume":"9"},"uris":["http://www.mendeley.com/documents/?uuid=dca0b49a-f0a3-4246-9225-f2ddf2c33b05"]}],"mendeley":{"formattedCitation":"&lt;sup&gt;[48]&lt;/sup&gt;","plainTextFormattedCitation":"[48]","previouslyFormattedCitation":"&lt;sup&gt;[48]&lt;/sup&gt;"},"properties":{"noteIndex":0},"schema":"https://github.com/citation-style-language/schema/raw/master/csl-citation.json"}</w:instrText>
      </w:r>
      <w:r w:rsidR="003A19BE" w:rsidRPr="007526EC">
        <w:rPr>
          <w:color w:val="000000" w:themeColor="text1"/>
          <w:lang w:val="en-US"/>
        </w:rPr>
        <w:fldChar w:fldCharType="separate"/>
      </w:r>
      <w:r w:rsidR="008A437C" w:rsidRPr="007526EC">
        <w:rPr>
          <w:noProof/>
          <w:color w:val="000000" w:themeColor="text1"/>
          <w:vertAlign w:val="superscript"/>
          <w:lang w:val="en-US"/>
        </w:rPr>
        <w:t>[48]</w:t>
      </w:r>
      <w:r w:rsidR="003A19BE" w:rsidRPr="007526EC">
        <w:rPr>
          <w:color w:val="000000" w:themeColor="text1"/>
          <w:lang w:val="en-US"/>
        </w:rPr>
        <w:fldChar w:fldCharType="end"/>
      </w:r>
      <w:r w:rsidR="004D56B1" w:rsidRPr="007526EC">
        <w:rPr>
          <w:color w:val="000000" w:themeColor="text1"/>
          <w:lang w:val="en-US"/>
        </w:rPr>
        <w:fldChar w:fldCharType="begin" w:fldLock="1"/>
      </w:r>
      <w:r w:rsidR="004D56B1" w:rsidRPr="007526EC">
        <w:rPr>
          <w:color w:val="000000" w:themeColor="text1"/>
          <w:lang w:val="en-US"/>
        </w:rPr>
        <w:instrText>ADDIN CSL_CITATION {"citationItems":[{"id":"ITEM-1","itemData":{"DOI":"10.1021/acs.molpharmaceut.0c00506","ISSN":"1543-8392 (Electronic)","PMID":"32584043","abstract":"Polyglutamine (polyQ) diseases, such as Huntington's disease and several types of  spinocerebellar ataxias, are dominantly inherited progressive neurodegenerative disorders and characterized by the presence of expanded CAG trinucleotide repeats in the respective disease locus of the patient genomes. Patients with polyQ diseases currently need to rely on symptom-relieving treatments because disease-modifying therapeutic interventions remain scarce. Many disease-modifying therapeutic agents are now under clinical testing for treating polyQ diseases, but their delivery to the brain is often too invasive (e.g., intracranial injection) or inefficient, owing to in vivo degradation and clearance by physiological barriers (e.g., oral and intravenous administration). Nanoparticles provide a feasible solution for improving drug delivery to the brain, as evidenced by an increasing number of preclinical studies that document the efficacy of nanomedicines for polyQ diseases over the past 5-6 years. In this review, we present the pathogenic mechanisms of polyQ diseases, the common animal models of polyQ diseases for evaluating the efficacy of nanomedicines, and the common administration routes for delivering nanoparticles to the brain. Next, we summarize the recent preclinical applications of nanomedicines for treating polyQ diseases and improving neurological conditions in vivo, placing emphasis on antisense oligonucleotides, small peptide inhibitors, and small molecules as the disease-modifying agents. We conclude with our perspectives of the burgeoning field of \"nanomedicines for polyQ diseases\", including the use of inorganic nanoparticles and potential drugs as next-generation nanomedicines, development of higher-order animal models of polyQ diseases, and importance of \"brain-nano\" interactions.","author":[{"dropping-particle":"","family":"Lee","given":"Leo Kit Cheung","non-dropping-particle":"","parse-names":false,"suffix":""},{"dropping-particle":"","family":"Leong","given":"Lok I","non-dropping-particle":"","parse-names":false,"suffix":""},{"dropping-particle":"","family":"Liu","given":"Yao","non-dropping-particle":"","parse-names":false,"suffix":""},{"dropping-particle":"","family":"Luo","given":"Meihua","non-dropping-particle":"","parse-names":false,"suffix":""},{"dropping-particle":"","family":"Chan","given":"Ho Yin Edwin","non-dropping-particle":"","parse-names":false,"suffix":""},{"dropping-particle":"","family":"Choi","given":"Chung Hang Jonathan","non-dropping-particle":"","parse-names":false,"suffix":""}],"container-title":"Molecular pharmaceutics","id":"ITEM-1","issue":"2","issued":{"date-parts":[["2021","2"]]},"language":"eng","page":"610-626","publisher-place":"United States","title":"Preclinical Nanomedicines for Polyglutamine-Based Neurodegenerative Diseases.","type":"article-journal","volume":"18"},"uris":["http://www.mendeley.com/documents/?uuid=83496418-38b5-4b38-b41b-645d7c43604e"]}],"mendeley":{"formattedCitation":"&lt;sup&gt;[49]&lt;/sup&gt;","plainTextFormattedCitation":"[49]","previouslyFormattedCitation":"&lt;sup&gt;[49]&lt;/sup&gt;"},"properties":{"noteIndex":0},"schema":"https://github.com/citation-style-language/schema/raw/master/csl-citation.json"}</w:instrText>
      </w:r>
      <w:r w:rsidR="004D56B1" w:rsidRPr="007526EC">
        <w:rPr>
          <w:color w:val="000000" w:themeColor="text1"/>
          <w:lang w:val="en-US"/>
        </w:rPr>
        <w:fldChar w:fldCharType="separate"/>
      </w:r>
      <w:r w:rsidR="004D56B1" w:rsidRPr="007526EC">
        <w:rPr>
          <w:noProof/>
          <w:color w:val="000000" w:themeColor="text1"/>
          <w:vertAlign w:val="superscript"/>
          <w:lang w:val="en-US"/>
        </w:rPr>
        <w:t>[49]</w:t>
      </w:r>
      <w:r w:rsidR="004D56B1" w:rsidRPr="007526EC">
        <w:rPr>
          <w:color w:val="000000" w:themeColor="text1"/>
          <w:lang w:val="en-US"/>
        </w:rPr>
        <w:fldChar w:fldCharType="end"/>
      </w:r>
      <w:r w:rsidR="004D56B1" w:rsidRPr="007526EC">
        <w:rPr>
          <w:color w:val="000000" w:themeColor="text1"/>
          <w:lang w:val="en-US"/>
        </w:rPr>
        <w:t xml:space="preserve"> </w:t>
      </w:r>
    </w:p>
    <w:p w14:paraId="38C0CF2A" w14:textId="487104A2" w:rsidR="005F0F11" w:rsidRPr="007526EC" w:rsidRDefault="00184818" w:rsidP="001F4C35">
      <w:pPr>
        <w:pBdr>
          <w:top w:val="nil"/>
          <w:left w:val="nil"/>
          <w:bottom w:val="nil"/>
          <w:right w:val="nil"/>
          <w:between w:val="nil"/>
        </w:pBdr>
        <w:spacing w:line="276" w:lineRule="auto"/>
        <w:jc w:val="both"/>
        <w:rPr>
          <w:color w:val="000000" w:themeColor="text1"/>
          <w:lang w:val="en-US"/>
        </w:rPr>
      </w:pPr>
      <w:r w:rsidRPr="00184818">
        <w:rPr>
          <w:color w:val="EE0000"/>
          <w:lang w:val="en-US"/>
        </w:rPr>
        <w:t>have been proposed for systemic OV delivery, they still face challenges related to biocompatibility, immune clearance, and BBB penetration.</w:t>
      </w:r>
      <w:r>
        <w:rPr>
          <w:color w:val="EE0000"/>
          <w:lang w:val="en-US"/>
        </w:rPr>
        <w:t xml:space="preserve"> </w:t>
      </w:r>
      <w:r w:rsidRPr="00184818">
        <w:rPr>
          <w:color w:val="EE0000"/>
          <w:lang w:val="en-US"/>
        </w:rPr>
        <w:t>By contrast, autologous monocytes offer active tropism toward tumor sites and can be isolated and loaded ex vivo with minimal manipulation</w:t>
      </w:r>
      <w:r>
        <w:rPr>
          <w:color w:val="EE0000"/>
          <w:lang w:val="en-US"/>
        </w:rPr>
        <w:t>.</w:t>
      </w:r>
      <w:r w:rsidR="005F0F11" w:rsidRPr="007526EC">
        <w:rPr>
          <w:color w:val="000000" w:themeColor="text1"/>
          <w:lang w:val="en-US"/>
        </w:rPr>
        <w:fldChar w:fldCharType="begin" w:fldLock="1"/>
      </w:r>
      <w:r w:rsidR="005F0F11" w:rsidRPr="007526EC">
        <w:rPr>
          <w:color w:val="000000" w:themeColor="text1"/>
          <w:lang w:val="en-US"/>
        </w:rPr>
        <w:instrText>ADDIN CSL_CITATION {"citationItems":[{"id":"ITEM-1","itemData":{"DOI":"10.1038/nature10138","ISSN":"1476-4687 (Electronic)","PMID":"21654748","abstract":"Macrophages, which are abundant in the tumour microenvironment, enhance  malignancy. At metastatic sites, a distinct population of metastasis-associated macrophages promotes the extravasation, seeding and persistent growth of tumour cells. Here we define the origin of these macrophages by showing that Gr1-positive inflammatory monocytes are preferentially recruited to pulmonary metastases but not to primary mammary tumours in mice. This process also occurs for human inflammatory monocytes in pulmonary metastases of human breast cancer cells. The recruitment of these inflammatory monocytes, which express CCR2 (the receptor for chemokine CCL2), as well as the subsequent recruitment of metastasis-associated macrophages and their interaction with metastasizing tumour cells, is dependent on CCL2 synthesized by both the tumour and the stroma. Inhibition of CCL2-CCR2 signalling blocks the recruitment of inflammatory monocytes, inhibits metastasis in vivo and prolongs the survival of tumour-bearing mice. Depletion of tumour-cell-derived CCL2 also inhibits metastatic seeding. Inflammatory monocytes promote the extravasation of tumour cells in a process that requires monocyte-derived vascular endothelial growth factor. CCL2 expression and macrophage infiltration are correlated with poor prognosis and metastatic disease in human breast cancer. Our data provide the mechanistic link between these two clinical associations and indicate new therapeutic targets for treating metastatic breast cancer.","author":[{"dropping-particle":"","family":"Qian","given":"Bin-Zhi","non-dropping-particle":"","parse-names":false,"suffix":""},{"dropping-particle":"","family":"Li","given":"Jiufeng","non-dropping-particle":"","parse-names":false,"suffix":""},{"dropping-particle":"","family":"Zhang","given":"Hui","non-dropping-particle":"","parse-names":false,"suffix":""},{"dropping-particle":"","family":"Kitamura","given":"Takanori","non-dropping-particle":"","parse-names":false,"suffix":""},{"dropping-particle":"","family":"Zhang","given":"Jinghang","non-dropping-particle":"","parse-names":false,"suffix":""},{"dropping-particle":"","family":"Campion","given":"Liam R","non-dropping-particle":"","parse-names":false,"suffix":""},{"dropping-particle":"","family":"Kaiser","given":"Elizabeth A","non-dropping-particle":"","parse-names":false,"suffix":""},{"dropping-particle":"","family":"Snyder","given":"Linda A","non-dropping-particle":"","parse-names":false,"suffix":""},{"dropping-particle":"","family":"Pollard","given":"Jeffrey W","non-dropping-particle":"","parse-names":false,"suffix":""}],"container-title":"Nature","id":"ITEM-1","issue":"7355","issued":{"date-parts":[["2011","6"]]},"language":"eng","page":"222-225","publisher-place":"England","title":"CCL2 recruits inflammatory monocytes to facilitate breast-tumour metastasis.","type":"article-journal","volume":"475"},"uris":["http://www.mendeley.com/documents/?uuid=fb73052b-339a-4017-800f-9a1356b885c6"]}],"mendeley":{"formattedCitation":"&lt;sup&gt;[50]&lt;/sup&gt;","plainTextFormattedCitation":"[50]","previouslyFormattedCitation":"&lt;sup&gt;[50]&lt;/sup&gt;"},"properties":{"noteIndex":0},"schema":"https://github.com/citation-style-language/schema/raw/master/csl-citation.json"}</w:instrText>
      </w:r>
      <w:r w:rsidR="005F0F11" w:rsidRPr="007526EC">
        <w:rPr>
          <w:color w:val="000000" w:themeColor="text1"/>
          <w:lang w:val="en-US"/>
        </w:rPr>
        <w:fldChar w:fldCharType="separate"/>
      </w:r>
      <w:r w:rsidR="005F0F11" w:rsidRPr="007526EC">
        <w:rPr>
          <w:noProof/>
          <w:color w:val="000000" w:themeColor="text1"/>
          <w:vertAlign w:val="superscript"/>
          <w:lang w:val="en-US"/>
        </w:rPr>
        <w:t>[50]</w:t>
      </w:r>
      <w:r w:rsidR="005F0F11" w:rsidRPr="007526EC">
        <w:rPr>
          <w:color w:val="000000" w:themeColor="text1"/>
          <w:lang w:val="en-US"/>
        </w:rPr>
        <w:fldChar w:fldCharType="end"/>
      </w:r>
      <w:r w:rsidR="005F0F11" w:rsidRPr="007526EC">
        <w:rPr>
          <w:color w:val="000000" w:themeColor="text1"/>
          <w:lang w:val="en-US"/>
        </w:rPr>
        <w:t xml:space="preserve"> </w:t>
      </w:r>
      <w:r w:rsidRPr="00184818">
        <w:rPr>
          <w:color w:val="EE0000"/>
          <w:lang w:val="en-US"/>
        </w:rPr>
        <w:t xml:space="preserve">Oncolytic virotherapy is inherently distinct from other modalities, as the therapeutic agent can replicate and propagate within infected cells. </w:t>
      </w:r>
      <w:r>
        <w:rPr>
          <w:color w:val="EE0000"/>
          <w:lang w:val="en-US"/>
        </w:rPr>
        <w:t>Favored by</w:t>
      </w:r>
      <w:r w:rsidRPr="00184818">
        <w:rPr>
          <w:color w:val="EE0000"/>
          <w:lang w:val="en-US"/>
        </w:rPr>
        <w:t xml:space="preserve"> the</w:t>
      </w:r>
      <w:r>
        <w:rPr>
          <w:color w:val="EE0000"/>
          <w:lang w:val="en-US"/>
        </w:rPr>
        <w:t>ir</w:t>
      </w:r>
      <w:r w:rsidRPr="00184818">
        <w:rPr>
          <w:color w:val="EE0000"/>
          <w:lang w:val="en-US"/>
        </w:rPr>
        <w:t xml:space="preserve"> natural migratory properties</w:t>
      </w:r>
      <w:r>
        <w:rPr>
          <w:color w:val="EE0000"/>
          <w:lang w:val="en-US"/>
        </w:rPr>
        <w:t>,</w:t>
      </w:r>
      <w:r w:rsidRPr="00184818">
        <w:rPr>
          <w:color w:val="EE0000"/>
          <w:lang w:val="en-US"/>
        </w:rPr>
        <w:t xml:space="preserve"> monocytes enable a minimally invasive, immune-evasive, and targeted delivery route</w:t>
      </w:r>
      <w:r>
        <w:rPr>
          <w:color w:val="EE0000"/>
          <w:lang w:val="en-US"/>
        </w:rPr>
        <w:t xml:space="preserve">, </w:t>
      </w:r>
      <w:r w:rsidRPr="00184818">
        <w:rPr>
          <w:color w:val="EE0000"/>
          <w:lang w:val="en-US"/>
        </w:rPr>
        <w:t>an attractive alternative to intracranial injection</w:t>
      </w:r>
      <w:r w:rsidR="00D354E3" w:rsidRPr="007526EC">
        <w:rPr>
          <w:color w:val="000000" w:themeColor="text1"/>
          <w:lang w:val="en-US"/>
        </w:rPr>
        <w:t>. In future</w:t>
      </w:r>
      <w:r w:rsidR="00273809" w:rsidRPr="00273809">
        <w:rPr>
          <w:color w:val="EE0000"/>
          <w:lang w:val="en-US"/>
        </w:rPr>
        <w:t xml:space="preserve"> </w:t>
      </w:r>
      <w:r w:rsidR="00273809" w:rsidRPr="00184818">
        <w:rPr>
          <w:color w:val="EE0000"/>
          <w:lang w:val="en-US"/>
        </w:rPr>
        <w:t>developments</w:t>
      </w:r>
      <w:r w:rsidR="00D354E3" w:rsidRPr="007526EC">
        <w:rPr>
          <w:color w:val="000000" w:themeColor="text1"/>
          <w:lang w:val="en-US"/>
        </w:rPr>
        <w:t xml:space="preserve">, </w:t>
      </w:r>
      <w:r w:rsidR="00273809" w:rsidRPr="00184818">
        <w:rPr>
          <w:color w:val="EE0000"/>
          <w:lang w:val="en-US"/>
        </w:rPr>
        <w:t xml:space="preserve">we envision extending this strategy toward off-the-shelf immune-evasive carriers, such as iPSC-derived </w:t>
      </w:r>
      <w:r w:rsidR="00D354E3" w:rsidRPr="007526EC">
        <w:rPr>
          <w:color w:val="000000" w:themeColor="text1"/>
          <w:lang w:val="en-US"/>
        </w:rPr>
        <w:t>monocytes</w:t>
      </w:r>
      <w:r w:rsidR="00C71874" w:rsidRPr="007526EC">
        <w:rPr>
          <w:color w:val="000000" w:themeColor="text1"/>
          <w:lang w:val="en-US"/>
        </w:rPr>
        <w:t>.</w:t>
      </w:r>
      <w:r w:rsidR="00DD40DD" w:rsidRPr="007526EC">
        <w:rPr>
          <w:color w:val="000000" w:themeColor="text1"/>
          <w:lang w:val="en-US"/>
        </w:rPr>
        <w:t xml:space="preserve"> </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{"citationItems":[{"id":"ITEM-1","itemData":{"DOI":"10.3390/ijms241411810","ISSN":"1422-0067 (Electronic)","PMID":"37511568","abstract":"Induced pluripotent stem cells (iPSC) have huge potential as cell therapy for  various diseases, given their potential for unlimited self-renewal and capability to differentiate into a wide range of cell types. Although autologous iPSCs represents the ideal source for patient-tailored regenerative medicine, the high costs of the extensive and time-consuming production process and the impracticability for treating acute conditions hinder their use for broad applications. An allogeneic iPSC-based strategy may overcome these issues, but it carries the risk of triggering an immune response. So far, several approaches based on genome-editing techniques to silence human leukocyte antigen class I (HLA-I) or II (HLA-II) expression have been explored to overcome the immune rejection of allogeneic iPSCs. In this study, we employed the CRISPR/Cas9 (clustered regularly interspaced short palindromic repeats/CRISPR associated protein 9) system to delete the β2-Microglobulin (B2M) and the Class II Major Histocompatibility Complex Transactivator (CIITA) genes, essential for the correct surface expression of HLA-I and HLA-II proteins. The resulting hypoimmunogenic iPSC line has a normal karyotype, expresses the pluripotency stem cell markers, and is capable of differentiating into the three embryonic germ layers. Furthermore, we showed that it specifically retains the ability to differentiate towards different liver cells, such as endothelial-like cells, hepatocyte-like cells, and hepatic stellate-like cells. Our results indicate that hypoimmunogenic iPSCs could give a new cost-effective and off-the-shelf opportunity for cell therapy in liver diseases.","author":[{"dropping-particle":"","family":"Trionfini","given":"Piera","non-dropping-particle":"","parse-names":false,"suffix":""},{"dropping-particle":"","family":"Romano","given":"Elena","non-dropping-particle":"","parse-names":false,"suffix":""},{"dropping-particle":"","family":"Varinelli","given":"Marco","non-dropping-particle":"","parse-names":false,"suffix":""},{"dropping-particle":"","family":"Longaretti","given":"Lorena","non-dropping-particle":"","parse-names":false,"suffix":""},{"dropping-particle":"","family":"Rizzo","given":"Paola","non-dropping-particle":"","parse-names":false,"suffix":""},{"dropping-particle":"","family":"Giampietro","given":"Roberta","non-dropping-particle":"","parse-names":false,"suffix":""},{"dropping-particle":"","family":"Caroli","given":"Annalina","non-dropping-particle":"","parse-names":false,"suffix":""},{"dropping-particle":"","family":"Aiello","given":"Sistiana","non-dropping-particle":"","parse-names":false,"suffix":""},{"dropping-particle":"","family":"Todeschini","given":"Marta","non-dropping-particle":"","parse-names":false,"suffix":""},{"dropping-particle":"","family":"Casiraghi","given":"Federica","non-dropping-particle":"","parse-names":false,"suffix":""},{"dropping-particle":"","family":"Remuzzi","given":"Giuseppe","non-dropping-particle":"","parse-names":false,"suffix":""},{"dropping-particle":"","family":"Benigni","given":"Ariela","non-dropping-particle":"","parse-names":false,"suffix":""},{"dropping-particle":"","family":"Tomasoni","given":"Susanna","non-dropping-particle":"","parse-names":false,"suffix":""}],"container-title":"International journal of molecular sciences","id":"ITEM-1","issue":"14","issued":{"date-parts":[["2023","7"]]},"language":"eng","publisher-place":"Switzerland","title":"Hypoimmunogenic Human Pluripotent Stem Cells as a Powerful Tool for Liver  Regenerative Medicine.","type":"article-journal","volume":"24"},"uris":["http://www.mendeley.com/documents/?uuid=bc74a0e8-96fc-4a44-8175-7519313b81fd"]},{"id":"ITEM-2","itemData":{"DOI":"10.1016/j.xpro.2023.102827","ISSN":"2666-1667 (Electronic)","PMID":"38219151","abstract":"Here, we present a protocol to differentiate induced pluripotent stem cell (iPSC)  into adherent hematopoietic progenitors that release floating CD14+ CD45+ monocytes into the culture medium. We describe steps for iPSC expansion, embryoid body (EB) formation, suspension culture, plating EBs, and recurring harvests of monocytes, a.k.a. \"monocyte factory.\" We then describe detailed procedures for freezing/thawing of monocytes and differentiation into polarized M1 and M2 macrophages. This protocol provides foundation to study iPSC monocytes and their progenies such as macrophages, microglial, and dendritic cells. For complete details on the use and execution of this protocol, please refer to Karlson et al.(1) and Panicker et al.(2).","author":[{"dropping-particle":"","family":"Park","given":"Tea Soon","non-dropping-particle":"","parse-names":false,"suffix":""},{"dropping-particle":"","family":"Hirday","given":"Rishabh","non-dropping-particle":"","parse-names":false,"suffix":""},{"dropping-particle":"","family":"Quinn","given":"Russell","non-dropping-particle":"","parse-names":false,"suffix":""},{"dropping-particle":"","family":"Jacob","given":"Sheela Panicker","non-dropping-particle":"","parse-names":false,"suffix":""},{"dropping-particle":"","family":"Feldman","given":"Ricardo A","non-dropping-particle":"","parse-names":false,"suffix":""},{"dropping-particle":"","family":"Bose","given":"Devika","non-dropping-particle":"","parse-names":false,"suffix":""},{"dropping-particle":"","family":"Sharma","given":"Ruchi","non-dropping-particle":"","parse-names":false,"suffix":""},{"dropping-particle":"","family":"Bharti","given":"Kapil","non-dropping-particle":"","parse-names":false,"suffix":""}],"container-title":"STAR protocols","id":"ITEM-2","issue":"1","issued":{"date-parts":[["2024","3"]]},"language":"eng","page":"102827","publisher-place":"United States","title":"Differentiation of monocytes and polarized M1/M2 macrophages from human induced  pluripotent stem cells.","type":"article-journal","volume":"5"},"uris":["http://www.mendeley.com/documents/?uuid=3acc9731-9a91-42c9-aafc-4270dfc594bf"]}],"mendeley":{"formattedCitation":"&lt;sup&gt;[51,52]&lt;/sup&gt;","plainTextFormattedCitation":"[51,52]","previouslyFormattedCitation":"&lt;sup&gt;[51,52]&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[51,52]</w:t>
      </w:r>
      <w:r w:rsidR="00DD40DD" w:rsidRPr="007526EC">
        <w:rPr>
          <w:color w:val="000000" w:themeColor="text1"/>
          <w:lang w:val="en-US"/>
        </w:rPr>
        <w:fldChar w:fldCharType="end"/>
      </w:r>
    </w:p>
    <w:p w14:paraId="0DE73284" w14:textId="64DE7944" w:rsidR="0018617E" w:rsidRPr="00AD2BAD" w:rsidRDefault="00C71874" w:rsidP="00F760D8">
      <w:pPr>
        <w:pBdr>
          <w:top w:val="nil"/>
          <w:left w:val="nil"/>
          <w:bottom w:val="nil"/>
          <w:right w:val="nil"/>
          <w:between w:val="nil"/>
        </w:pBdr>
        <w:spacing w:before="120" w:line="276" w:lineRule="auto"/>
        <w:jc w:val="both"/>
        <w:rPr>
          <w:color w:val="EE0000"/>
          <w:lang w:val="en-US"/>
        </w:rPr>
      </w:pPr>
      <w:r w:rsidRPr="007526EC">
        <w:rPr>
          <w:color w:val="000000" w:themeColor="text1"/>
          <w:lang w:val="en-US"/>
        </w:rPr>
        <w:t xml:space="preserve">Overall, our results </w:t>
      </w:r>
      <w:r w:rsidR="00AD2BAD" w:rsidRPr="00AD2BAD">
        <w:rPr>
          <w:color w:val="EE0000"/>
          <w:lang w:val="en-US"/>
        </w:rPr>
        <w:t>establish proof-of-concept for using</w:t>
      </w:r>
      <w:r w:rsidR="00AD2BAD" w:rsidRPr="007526EC">
        <w:rPr>
          <w:color w:val="000000" w:themeColor="text1"/>
          <w:lang w:val="en-US"/>
        </w:rPr>
        <w:t xml:space="preserve"> </w:t>
      </w:r>
      <w:r w:rsidRPr="007526EC">
        <w:rPr>
          <w:color w:val="000000" w:themeColor="text1"/>
          <w:lang w:val="en-US"/>
        </w:rPr>
        <w:t xml:space="preserve">autologous monocytes as “Trojan horse” </w:t>
      </w:r>
      <w:r w:rsidR="00AD2BAD" w:rsidRPr="00AD2BAD">
        <w:rPr>
          <w:color w:val="EE0000"/>
          <w:lang w:val="en-US"/>
        </w:rPr>
        <w:t xml:space="preserve">carriers </w:t>
      </w:r>
      <w:r w:rsidRPr="007526EC">
        <w:rPr>
          <w:color w:val="000000" w:themeColor="text1"/>
          <w:lang w:val="en-US"/>
        </w:rPr>
        <w:t xml:space="preserve">for systemic delivery of OVs to GBM. This </w:t>
      </w:r>
      <w:r w:rsidR="00AD2BAD" w:rsidRPr="00AD2BAD">
        <w:rPr>
          <w:color w:val="EE0000"/>
          <w:lang w:val="en-US"/>
        </w:rPr>
        <w:t>work demonstrates feasibility, immune compatibility, and localized activity, laying the foundation for further mechanistic studies and preclinical validation. Future research will focus on dissecting the molecular pathways underlying monocyte differentiation and viral reactivation, as well as evaluating therapeutic efficacy and safety in vivo.</w:t>
      </w:r>
    </w:p>
    <w:p w14:paraId="00000055" w14:textId="77777777" w:rsidR="00234C7D" w:rsidRPr="007526EC" w:rsidRDefault="00234C7D" w:rsidP="001F4C35">
      <w:pPr>
        <w:pBdr>
          <w:top w:val="nil"/>
          <w:left w:val="nil"/>
          <w:bottom w:val="nil"/>
          <w:right w:val="nil"/>
          <w:between w:val="nil"/>
        </w:pBdr>
        <w:spacing w:line="276" w:lineRule="auto"/>
        <w:jc w:val="both"/>
        <w:rPr>
          <w:color w:val="000000" w:themeColor="text1"/>
          <w:lang w:val="en-US"/>
        </w:rPr>
      </w:pPr>
    </w:p>
    <w:p w14:paraId="00000056" w14:textId="77777777" w:rsidR="00234C7D" w:rsidRPr="007526EC" w:rsidRDefault="00C71874" w:rsidP="001F4C35">
      <w:pPr>
        <w:numPr>
          <w:ilvl w:val="0"/>
          <w:numId w:val="2"/>
        </w:numPr>
        <w:pBdr>
          <w:top w:val="nil"/>
          <w:left w:val="nil"/>
          <w:bottom w:val="nil"/>
          <w:right w:val="nil"/>
          <w:between w:val="nil"/>
        </w:pBdr>
        <w:spacing w:after="160" w:line="259" w:lineRule="auto"/>
        <w:rPr>
          <w:b/>
          <w:color w:val="000000" w:themeColor="text1"/>
          <w:lang w:val="en-US"/>
        </w:rPr>
      </w:pPr>
      <w:r w:rsidRPr="007526EC">
        <w:rPr>
          <w:b/>
          <w:color w:val="000000" w:themeColor="text1"/>
          <w:lang w:val="en-US"/>
        </w:rPr>
        <w:t>Experimental Section</w:t>
      </w:r>
    </w:p>
    <w:p w14:paraId="00000057" w14:textId="14FC36C4" w:rsidR="00234C7D" w:rsidRPr="007526EC" w:rsidRDefault="00C71874" w:rsidP="00192C54">
      <w:pPr>
        <w:spacing w:before="120" w:after="280" w:line="276" w:lineRule="auto"/>
        <w:jc w:val="both"/>
        <w:rPr>
          <w:color w:val="000000" w:themeColor="text1"/>
          <w:lang w:val="en-US"/>
        </w:rPr>
      </w:pPr>
      <w:r w:rsidRPr="007526EC">
        <w:rPr>
          <w:i/>
          <w:color w:val="000000" w:themeColor="text1"/>
          <w:lang w:val="en-US"/>
        </w:rPr>
        <w:t>BBB-on-chip design and fabrication</w:t>
      </w:r>
      <w:r w:rsidRPr="007526EC">
        <w:rPr>
          <w:color w:val="000000" w:themeColor="text1"/>
          <w:lang w:val="en-US"/>
        </w:rPr>
        <w:t>: The geometry of the BBB-on-chip was designed using AutoCAD</w:t>
      </w:r>
      <w:r w:rsidRPr="007526EC">
        <w:rPr>
          <w:color w:val="000000" w:themeColor="text1"/>
          <w:vertAlign w:val="superscript"/>
          <w:lang w:val="en-US"/>
        </w:rPr>
        <w:t>®</w:t>
      </w:r>
      <w:r w:rsidRPr="007526EC">
        <w:rPr>
          <w:color w:val="000000" w:themeColor="text1"/>
          <w:lang w:val="en-US"/>
        </w:rPr>
        <w:t xml:space="preserve"> software, and the master mold was fabricated on a silicon wafer using standard photolithography.</w:t>
      </w:r>
      <w:r w:rsidRPr="007526EC">
        <w:rPr>
          <w:color w:val="000000" w:themeColor="text1"/>
          <w:vertAlign w:val="superscript"/>
          <w:lang w:val="en-US"/>
        </w:rPr>
        <w:t>[33]</w:t>
      </w:r>
      <w:r w:rsidRPr="007526EC">
        <w:rPr>
          <w:color w:val="000000" w:themeColor="text1"/>
          <w:lang w:val="en-US"/>
        </w:rPr>
        <w:t xml:space="preserve"> The microfluidic device was replica molded in polydimethylsiloxane (PDMS; </w:t>
      </w:r>
      <w:proofErr w:type="spellStart"/>
      <w:r w:rsidRPr="007526EC">
        <w:rPr>
          <w:color w:val="000000" w:themeColor="text1"/>
          <w:lang w:val="en-US"/>
        </w:rPr>
        <w:t>Sylgard</w:t>
      </w:r>
      <w:proofErr w:type="spellEnd"/>
      <w:r w:rsidRPr="007526EC">
        <w:rPr>
          <w:color w:val="000000" w:themeColor="text1"/>
          <w:lang w:val="en-US"/>
        </w:rPr>
        <w:t xml:space="preserve"> 184; Dow Corning, Midland, MI, USA) using soft lithography techniques.</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{"citationItems":[{"id":"ITEM-1","itemData":{"author":[{"dropping-particle":"","family":"Xia","given":"Y","non-dropping-particle":"","parse-names":false,"suffix":""},{"dropping-particle":"","family":"Whitesides","given":"G M","non-dropping-particle":"","parse-names":false,"suffix":""}],"container-title":"Angew. Chem., Int. Ed. Engl.","id":"ITEM-1","issue":"5","issued":{"date-parts":[["1998"]]},"page":"550-575","title":"Soft lithography","type":"article-journal","volume":"37"},"uris":["http://www.mendeley.com/documents/?uuid=4de282a7-478a-47a0-992a-e36f0583e109"]}],"mendeley":{"formattedCitation":"&lt;sup&gt;[53]&lt;/sup&gt;","plainTextFormattedCitation":"[53]","previouslyFormattedCitation":"&lt;sup&gt;[53]&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[53]</w:t>
      </w:r>
      <w:r w:rsidR="00DD40DD" w:rsidRPr="007526EC">
        <w:rPr>
          <w:color w:val="000000" w:themeColor="text1"/>
          <w:lang w:val="en-US"/>
        </w:rPr>
        <w:fldChar w:fldCharType="end"/>
      </w:r>
      <w:r w:rsidRPr="007526EC">
        <w:rPr>
          <w:color w:val="000000" w:themeColor="text1"/>
          <w:lang w:val="en-US"/>
        </w:rPr>
        <w:t xml:space="preserve"> Briefly, PDMS pre-polymer (10:1 elastomer base to curing agent, </w:t>
      </w:r>
      <w:proofErr w:type="spellStart"/>
      <w:r w:rsidRPr="007526EC">
        <w:rPr>
          <w:color w:val="000000" w:themeColor="text1"/>
          <w:lang w:val="en-US"/>
        </w:rPr>
        <w:t>wt</w:t>
      </w:r>
      <w:proofErr w:type="spellEnd"/>
      <w:r w:rsidRPr="007526EC">
        <w:rPr>
          <w:color w:val="000000" w:themeColor="text1"/>
          <w:lang w:val="en-US"/>
        </w:rPr>
        <w:t>/</w:t>
      </w:r>
      <w:proofErr w:type="spellStart"/>
      <w:r w:rsidRPr="007526EC">
        <w:rPr>
          <w:color w:val="000000" w:themeColor="text1"/>
          <w:lang w:val="en-US"/>
        </w:rPr>
        <w:t>wt</w:t>
      </w:r>
      <w:proofErr w:type="spellEnd"/>
      <w:r w:rsidRPr="007526EC">
        <w:rPr>
          <w:color w:val="000000" w:themeColor="text1"/>
          <w:lang w:val="en-US"/>
        </w:rPr>
        <w:t xml:space="preserve">) was degassed and poured over the SU-8 </w:t>
      </w:r>
      <w:r w:rsidRPr="007526EC">
        <w:rPr>
          <w:color w:val="000000" w:themeColor="text1"/>
          <w:lang w:val="en-US"/>
        </w:rPr>
        <w:lastRenderedPageBreak/>
        <w:t>(</w:t>
      </w:r>
      <w:proofErr w:type="spellStart"/>
      <w:r w:rsidRPr="007526EC">
        <w:rPr>
          <w:color w:val="000000" w:themeColor="text1"/>
          <w:lang w:val="en-US"/>
        </w:rPr>
        <w:t>Microchem</w:t>
      </w:r>
      <w:proofErr w:type="spellEnd"/>
      <w:r w:rsidRPr="007526EC">
        <w:rPr>
          <w:color w:val="000000" w:themeColor="text1"/>
          <w:lang w:val="en-US"/>
        </w:rPr>
        <w:t xml:space="preserve">, Newton, MA, USA) patterned wafer to imprint the apical and basolateral geometries. After curing at 80 °C, for 1 hour, the inlets and outlets were created using a 1 mm diameter biopsy punch. A transparent polyester membrane (PETE, 3 </w:t>
      </w:r>
      <w:proofErr w:type="spellStart"/>
      <w:r w:rsidRPr="007526EC">
        <w:rPr>
          <w:color w:val="000000" w:themeColor="text1"/>
          <w:lang w:val="en-US"/>
        </w:rPr>
        <w:t>μm</w:t>
      </w:r>
      <w:proofErr w:type="spellEnd"/>
      <w:r w:rsidRPr="007526EC">
        <w:rPr>
          <w:color w:val="000000" w:themeColor="text1"/>
          <w:lang w:val="en-US"/>
        </w:rPr>
        <w:t xml:space="preserve"> pore size, 12 </w:t>
      </w:r>
      <w:proofErr w:type="spellStart"/>
      <w:r w:rsidRPr="007526EC">
        <w:rPr>
          <w:color w:val="000000" w:themeColor="text1"/>
          <w:lang w:val="en-US"/>
        </w:rPr>
        <w:t>μm</w:t>
      </w:r>
      <w:proofErr w:type="spellEnd"/>
      <w:r w:rsidRPr="007526EC">
        <w:rPr>
          <w:color w:val="000000" w:themeColor="text1"/>
          <w:lang w:val="en-US"/>
        </w:rPr>
        <w:t xml:space="preserve"> thickness, </w:t>
      </w:r>
      <w:proofErr w:type="spellStart"/>
      <w:r w:rsidRPr="007526EC">
        <w:rPr>
          <w:color w:val="000000" w:themeColor="text1"/>
          <w:lang w:val="en-US"/>
        </w:rPr>
        <w:t>Sterlitech</w:t>
      </w:r>
      <w:proofErr w:type="spellEnd"/>
      <w:r w:rsidRPr="007526EC">
        <w:rPr>
          <w:color w:val="000000" w:themeColor="text1"/>
          <w:lang w:val="en-US"/>
        </w:rPr>
        <w:t xml:space="preserve"> Corp, Kent, WA, USA) was sandwiched and bonded between the apical and the basolateral PDMS layers using a plasma cleaner (Harrick Plasma, Ithaca, NY, USA). The assembled BBB-on-chip devices were bound to glass coverslips via further plasma treatment and sterilized with 70% ethanol followed by UV exposure for 60 minutes. </w:t>
      </w:r>
    </w:p>
    <w:p w14:paraId="00000058" w14:textId="77777777"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 xml:space="preserve">BBB-on-chip cells seeding and culturing: </w:t>
      </w:r>
      <w:r w:rsidRPr="007526EC">
        <w:rPr>
          <w:color w:val="000000" w:themeColor="text1"/>
          <w:lang w:val="en-US"/>
        </w:rPr>
        <w:t>Human umbilical vein endothelial cells (HUVECs), brain vascular pericytes (</w:t>
      </w:r>
      <w:proofErr w:type="spellStart"/>
      <w:r w:rsidRPr="007526EC">
        <w:rPr>
          <w:color w:val="000000" w:themeColor="text1"/>
          <w:lang w:val="en-US"/>
        </w:rPr>
        <w:t>hBVPs</w:t>
      </w:r>
      <w:proofErr w:type="spellEnd"/>
      <w:r w:rsidRPr="007526EC">
        <w:rPr>
          <w:color w:val="000000" w:themeColor="text1"/>
          <w:lang w:val="en-US"/>
        </w:rPr>
        <w:t>), and immortalized astrocytes (</w:t>
      </w:r>
      <w:proofErr w:type="spellStart"/>
      <w:r w:rsidRPr="007526EC">
        <w:rPr>
          <w:color w:val="000000" w:themeColor="text1"/>
          <w:lang w:val="en-US"/>
        </w:rPr>
        <w:t>hAs</w:t>
      </w:r>
      <w:proofErr w:type="spellEnd"/>
      <w:r w:rsidRPr="007526EC">
        <w:rPr>
          <w:color w:val="000000" w:themeColor="text1"/>
          <w:lang w:val="en-US"/>
        </w:rPr>
        <w:t xml:space="preserve">) were obtained from </w:t>
      </w:r>
      <w:proofErr w:type="spellStart"/>
      <w:r w:rsidRPr="007526EC">
        <w:rPr>
          <w:color w:val="000000" w:themeColor="text1"/>
          <w:lang w:val="en-US"/>
        </w:rPr>
        <w:t>Innoprot</w:t>
      </w:r>
      <w:proofErr w:type="spellEnd"/>
      <w:r w:rsidRPr="007526EC">
        <w:rPr>
          <w:color w:val="000000" w:themeColor="text1"/>
          <w:lang w:val="en-US"/>
        </w:rPr>
        <w:t xml:space="preserve"> (</w:t>
      </w:r>
      <w:proofErr w:type="spellStart"/>
      <w:r w:rsidRPr="007526EC">
        <w:rPr>
          <w:color w:val="000000" w:themeColor="text1"/>
          <w:lang w:val="en-US"/>
        </w:rPr>
        <w:t>Derio</w:t>
      </w:r>
      <w:proofErr w:type="spellEnd"/>
      <w:r w:rsidRPr="007526EC">
        <w:rPr>
          <w:color w:val="000000" w:themeColor="text1"/>
          <w:lang w:val="en-US"/>
        </w:rPr>
        <w:t xml:space="preserve">, Spain). HUVECs were expanded in fibronectin-coated (FN, </w:t>
      </w:r>
      <w:proofErr w:type="spellStart"/>
      <w:r w:rsidRPr="007526EC">
        <w:rPr>
          <w:color w:val="000000" w:themeColor="text1"/>
          <w:lang w:val="en-US"/>
        </w:rPr>
        <w:t>Innoprot</w:t>
      </w:r>
      <w:proofErr w:type="spellEnd"/>
      <w:r w:rsidRPr="007526EC">
        <w:rPr>
          <w:color w:val="000000" w:themeColor="text1"/>
          <w:lang w:val="en-US"/>
        </w:rPr>
        <w:t xml:space="preserve">, 1 mg/ml) 75 cm² flasks using Endothelial Basal Medium (P60104, </w:t>
      </w:r>
      <w:proofErr w:type="spellStart"/>
      <w:r w:rsidRPr="007526EC">
        <w:rPr>
          <w:color w:val="000000" w:themeColor="text1"/>
          <w:lang w:val="en-US"/>
        </w:rPr>
        <w:t>Innoprot</w:t>
      </w:r>
      <w:proofErr w:type="spellEnd"/>
      <w:r w:rsidRPr="007526EC">
        <w:rPr>
          <w:color w:val="000000" w:themeColor="text1"/>
          <w:lang w:val="en-US"/>
        </w:rPr>
        <w:t xml:space="preserve">) supplemented with 5% fetal bovine serum (FBS, </w:t>
      </w:r>
      <w:proofErr w:type="spellStart"/>
      <w:r w:rsidRPr="007526EC">
        <w:rPr>
          <w:color w:val="000000" w:themeColor="text1"/>
          <w:lang w:val="en-US"/>
        </w:rPr>
        <w:t>Innoprot</w:t>
      </w:r>
      <w:proofErr w:type="spellEnd"/>
      <w:r w:rsidRPr="007526EC">
        <w:rPr>
          <w:color w:val="000000" w:themeColor="text1"/>
          <w:lang w:val="en-US"/>
        </w:rPr>
        <w:t xml:space="preserve">), 1% penicillin-streptomycin (P/S, </w:t>
      </w:r>
      <w:proofErr w:type="spellStart"/>
      <w:r w:rsidRPr="007526EC">
        <w:rPr>
          <w:color w:val="000000" w:themeColor="text1"/>
          <w:lang w:val="en-US"/>
        </w:rPr>
        <w:t>Innoprot</w:t>
      </w:r>
      <w:proofErr w:type="spellEnd"/>
      <w:r w:rsidRPr="007526EC">
        <w:rPr>
          <w:color w:val="000000" w:themeColor="text1"/>
          <w:lang w:val="en-US"/>
        </w:rPr>
        <w:t xml:space="preserve">), and 1% endothelial cell growth supplement (ECGS, </w:t>
      </w:r>
      <w:proofErr w:type="spellStart"/>
      <w:r w:rsidRPr="007526EC">
        <w:rPr>
          <w:color w:val="000000" w:themeColor="text1"/>
          <w:lang w:val="en-US"/>
        </w:rPr>
        <w:t>Innoprot</w:t>
      </w:r>
      <w:proofErr w:type="spellEnd"/>
      <w:r w:rsidRPr="007526EC">
        <w:rPr>
          <w:color w:val="000000" w:themeColor="text1"/>
          <w:lang w:val="en-US"/>
        </w:rPr>
        <w:t xml:space="preserve">). </w:t>
      </w:r>
      <w:proofErr w:type="spellStart"/>
      <w:r w:rsidRPr="007526EC">
        <w:rPr>
          <w:color w:val="000000" w:themeColor="text1"/>
          <w:lang w:val="en-US"/>
        </w:rPr>
        <w:t>hBVPs</w:t>
      </w:r>
      <w:proofErr w:type="spellEnd"/>
      <w:r w:rsidRPr="007526EC">
        <w:rPr>
          <w:color w:val="000000" w:themeColor="text1"/>
          <w:lang w:val="en-US"/>
        </w:rPr>
        <w:t xml:space="preserve"> and </w:t>
      </w:r>
      <w:proofErr w:type="spellStart"/>
      <w:r w:rsidRPr="007526EC">
        <w:rPr>
          <w:color w:val="000000" w:themeColor="text1"/>
          <w:lang w:val="en-US"/>
        </w:rPr>
        <w:t>hAs</w:t>
      </w:r>
      <w:proofErr w:type="spellEnd"/>
      <w:r w:rsidRPr="007526EC">
        <w:rPr>
          <w:color w:val="000000" w:themeColor="text1"/>
          <w:lang w:val="en-US"/>
        </w:rPr>
        <w:t xml:space="preserve"> </w:t>
      </w:r>
      <w:proofErr w:type="gramStart"/>
      <w:r w:rsidRPr="007526EC">
        <w:rPr>
          <w:color w:val="000000" w:themeColor="text1"/>
          <w:lang w:val="en-US"/>
        </w:rPr>
        <w:t>were</w:t>
      </w:r>
      <w:proofErr w:type="gramEnd"/>
      <w:r w:rsidRPr="007526EC">
        <w:rPr>
          <w:color w:val="000000" w:themeColor="text1"/>
          <w:lang w:val="en-US"/>
        </w:rPr>
        <w:t xml:space="preserve"> cultured in poly-L-lysine-coated (PLL, </w:t>
      </w:r>
      <w:proofErr w:type="spellStart"/>
      <w:r w:rsidRPr="007526EC">
        <w:rPr>
          <w:color w:val="000000" w:themeColor="text1"/>
          <w:lang w:val="en-US"/>
        </w:rPr>
        <w:t>Innoprot</w:t>
      </w:r>
      <w:proofErr w:type="spellEnd"/>
      <w:r w:rsidRPr="007526EC">
        <w:rPr>
          <w:color w:val="000000" w:themeColor="text1"/>
          <w:lang w:val="en-US"/>
        </w:rPr>
        <w:t xml:space="preserve">, 1 mg/ml) 25 cm² flasks using Pericyte and Astrocyte Basal Medium, respectively, supplemented with 2% FBS, 1% growth supplement, and 1% P/S solution. For BBB-on-chip seeding, the PETE membrane was coated for 24 hours with FN (blood side) and PLL (brain side), followed by three Phosphate Buffer Saline (PBS, Sial </w:t>
      </w:r>
      <w:proofErr w:type="spellStart"/>
      <w:r w:rsidRPr="007526EC">
        <w:rPr>
          <w:color w:val="000000" w:themeColor="text1"/>
          <w:lang w:val="en-US"/>
        </w:rPr>
        <w:t>s.r.l</w:t>
      </w:r>
      <w:proofErr w:type="spellEnd"/>
      <w:r w:rsidRPr="007526EC">
        <w:rPr>
          <w:color w:val="000000" w:themeColor="text1"/>
          <w:lang w:val="en-US"/>
        </w:rPr>
        <w:t xml:space="preserve">., Rome, Italy) washes. </w:t>
      </w:r>
      <w:proofErr w:type="spellStart"/>
      <w:r w:rsidRPr="007526EC">
        <w:rPr>
          <w:color w:val="000000" w:themeColor="text1"/>
          <w:lang w:val="en-US"/>
        </w:rPr>
        <w:t>hAs</w:t>
      </w:r>
      <w:proofErr w:type="spellEnd"/>
      <w:r w:rsidRPr="007526EC">
        <w:rPr>
          <w:color w:val="000000" w:themeColor="text1"/>
          <w:lang w:val="en-US"/>
        </w:rPr>
        <w:t xml:space="preserve"> and </w:t>
      </w:r>
      <w:proofErr w:type="spellStart"/>
      <w:r w:rsidRPr="007526EC">
        <w:rPr>
          <w:color w:val="000000" w:themeColor="text1"/>
          <w:lang w:val="en-US"/>
        </w:rPr>
        <w:t>hBVPs</w:t>
      </w:r>
      <w:proofErr w:type="spellEnd"/>
      <w:r w:rsidRPr="007526EC">
        <w:rPr>
          <w:color w:val="000000" w:themeColor="text1"/>
          <w:lang w:val="en-US"/>
        </w:rPr>
        <w:t xml:space="preserve"> were seeded on the brain side at densities of 5x10⁵ and 1x10⁵ cells, respectively. After 6 hours of inverted incubation to favor cell adhesion to the PETE membrane, devices were placed upright and incubated for 24 hours with medium changes every 8 hours (medium 1:1 mix of </w:t>
      </w:r>
      <w:proofErr w:type="spellStart"/>
      <w:r w:rsidRPr="007526EC">
        <w:rPr>
          <w:color w:val="000000" w:themeColor="text1"/>
          <w:lang w:val="en-US"/>
        </w:rPr>
        <w:t>hAs</w:t>
      </w:r>
      <w:proofErr w:type="spellEnd"/>
      <w:r w:rsidRPr="007526EC">
        <w:rPr>
          <w:color w:val="000000" w:themeColor="text1"/>
          <w:lang w:val="en-US"/>
        </w:rPr>
        <w:t xml:space="preserve"> and </w:t>
      </w:r>
      <w:proofErr w:type="spellStart"/>
      <w:r w:rsidRPr="007526EC">
        <w:rPr>
          <w:color w:val="000000" w:themeColor="text1"/>
          <w:lang w:val="en-US"/>
        </w:rPr>
        <w:t>hBVP</w:t>
      </w:r>
      <w:proofErr w:type="spellEnd"/>
      <w:r w:rsidRPr="007526EC">
        <w:rPr>
          <w:color w:val="000000" w:themeColor="text1"/>
          <w:lang w:val="en-US"/>
        </w:rPr>
        <w:t xml:space="preserve"> media). HUVECs were seeded at 6x10⁶ cells/mL in the vascular channel (blood side) and incubated for 4 hours. Devices were then perfused at 30 </w:t>
      </w:r>
      <w:proofErr w:type="spellStart"/>
      <w:r w:rsidRPr="007526EC">
        <w:rPr>
          <w:color w:val="000000" w:themeColor="text1"/>
          <w:lang w:val="en-US"/>
        </w:rPr>
        <w:t>μL</w:t>
      </w:r>
      <w:proofErr w:type="spellEnd"/>
      <w:r w:rsidRPr="007526EC">
        <w:rPr>
          <w:color w:val="000000" w:themeColor="text1"/>
          <w:lang w:val="en-US"/>
        </w:rPr>
        <w:t xml:space="preserve">/min using tubing connected to inlet/outlet ports. The perfusion medium was composed of 75% HUVEC medium and 25% (1:1) </w:t>
      </w:r>
      <w:proofErr w:type="spellStart"/>
      <w:r w:rsidRPr="007526EC">
        <w:rPr>
          <w:color w:val="000000" w:themeColor="text1"/>
          <w:lang w:val="en-US"/>
        </w:rPr>
        <w:t>hAs</w:t>
      </w:r>
      <w:proofErr w:type="spellEnd"/>
      <w:r w:rsidRPr="007526EC">
        <w:rPr>
          <w:color w:val="000000" w:themeColor="text1"/>
          <w:lang w:val="en-US"/>
        </w:rPr>
        <w:t>/</w:t>
      </w:r>
      <w:proofErr w:type="spellStart"/>
      <w:r w:rsidRPr="007526EC">
        <w:rPr>
          <w:color w:val="000000" w:themeColor="text1"/>
          <w:lang w:val="en-US"/>
        </w:rPr>
        <w:t>hBVP</w:t>
      </w:r>
      <w:proofErr w:type="spellEnd"/>
      <w:r w:rsidRPr="007526EC">
        <w:rPr>
          <w:color w:val="000000" w:themeColor="text1"/>
          <w:lang w:val="en-US"/>
        </w:rPr>
        <w:t xml:space="preserve"> media (please see </w:t>
      </w:r>
      <w:r w:rsidRPr="007526EC">
        <w:rPr>
          <w:b/>
          <w:color w:val="000000" w:themeColor="text1"/>
          <w:lang w:val="en-US"/>
        </w:rPr>
        <w:t>Supplementary Figure S.5</w:t>
      </w:r>
      <w:r w:rsidRPr="007526EC">
        <w:rPr>
          <w:color w:val="000000" w:themeColor="text1"/>
          <w:lang w:val="en-US"/>
        </w:rPr>
        <w:t xml:space="preserve"> for optimization details). Devices were cultured for 7 days to ensure the correct formation and maturation of the BBB before experimentation.</w:t>
      </w:r>
    </w:p>
    <w:p w14:paraId="00000059" w14:textId="77777777" w:rsidR="00234C7D" w:rsidRPr="007526EC" w:rsidRDefault="00C71874">
      <w:pPr>
        <w:spacing w:line="276" w:lineRule="auto"/>
        <w:jc w:val="both"/>
        <w:rPr>
          <w:color w:val="000000" w:themeColor="text1"/>
          <w:lang w:val="en-US"/>
        </w:rPr>
      </w:pPr>
      <w:r w:rsidRPr="007526EC">
        <w:rPr>
          <w:i/>
          <w:color w:val="000000" w:themeColor="text1"/>
          <w:lang w:val="en-US"/>
        </w:rPr>
        <w:t xml:space="preserve">TEER measurements: </w:t>
      </w:r>
      <w:r w:rsidRPr="007526EC">
        <w:rPr>
          <w:color w:val="000000" w:themeColor="text1"/>
          <w:lang w:val="en-US"/>
        </w:rPr>
        <w:t xml:space="preserve">TEER values were monitored over 7 days using a Millicell-ERS2 volt-ohm meter (Millipore, Merck, </w:t>
      </w:r>
      <w:proofErr w:type="spellStart"/>
      <w:r w:rsidRPr="007526EC">
        <w:rPr>
          <w:color w:val="000000" w:themeColor="text1"/>
          <w:lang w:val="en-US"/>
        </w:rPr>
        <w:t>Rahaway</w:t>
      </w:r>
      <w:proofErr w:type="spellEnd"/>
      <w:r w:rsidRPr="007526EC">
        <w:rPr>
          <w:color w:val="000000" w:themeColor="text1"/>
          <w:lang w:val="en-US"/>
        </w:rPr>
        <w:t xml:space="preserve">, NJ, USA) with STX01 electrodes. TEER values correlate with BBB formation and maturation. Measurements were recorded by placing electrodes at the blood and brain sides of the PETE membrane. Devices without served as blanks. TEER was calculated using the following formula (1). </w:t>
      </w:r>
    </w:p>
    <w:p w14:paraId="0000005A" w14:textId="77777777" w:rsidR="00234C7D" w:rsidRPr="007526EC" w:rsidRDefault="00234C7D">
      <w:pPr>
        <w:spacing w:line="276" w:lineRule="auto"/>
        <w:jc w:val="both"/>
        <w:rPr>
          <w:color w:val="000000" w:themeColor="text1"/>
          <w:lang w:val="en-US"/>
        </w:rPr>
      </w:pPr>
    </w:p>
    <w:p w14:paraId="0000005B" w14:textId="77777777" w:rsidR="00234C7D" w:rsidRPr="007526EC" w:rsidRDefault="00C71874">
      <w:pPr>
        <w:jc w:val="center"/>
        <w:rPr>
          <w:rFonts w:ascii="Cambria Math" w:eastAsia="Cambria Math" w:hAnsi="Cambria Math" w:cs="Cambria Math"/>
          <w:color w:val="000000" w:themeColor="text1"/>
          <w:lang w:val="en-US"/>
        </w:rPr>
      </w:pPr>
      <m:oMathPara>
        <m:oMath>
          <m:r>
            <w:rPr>
              <w:rFonts w:ascii="Cambria Math" w:eastAsia="Cambria Math" w:hAnsi="Cambria Math" w:cs="Cambria Math"/>
              <w:color w:val="000000" w:themeColor="text1"/>
              <w:lang w:val="en-US"/>
            </w:rPr>
            <m:t xml:space="preserve">                                                              TEER=</m:t>
          </m:r>
          <m:d>
            <m:dPr>
              <m:ctrlPr>
                <w:rPr>
                  <w:rFonts w:ascii="Cambria Math" w:eastAsia="Cambria Math" w:hAnsi="Cambria Math" w:cs="Cambria Math"/>
                  <w:color w:val="000000" w:themeColor="text1"/>
                  <w:lang w:val="en-US"/>
                </w:rPr>
              </m:ctrlPr>
            </m:dPr>
            <m:e>
              <m:r>
                <w:rPr>
                  <w:rFonts w:ascii="Cambria Math" w:eastAsia="Cambria Math" w:hAnsi="Cambria Math" w:cs="Cambria Math"/>
                  <w:color w:val="000000" w:themeColor="text1"/>
                  <w:lang w:val="en-US"/>
                </w:rPr>
                <m:t>R-</m:t>
              </m:r>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R</m:t>
                  </m:r>
                </m:e>
                <m:sub>
                  <m:r>
                    <w:rPr>
                      <w:rFonts w:ascii="Cambria Math" w:eastAsia="Cambria Math" w:hAnsi="Cambria Math" w:cs="Cambria Math"/>
                      <w:color w:val="000000" w:themeColor="text1"/>
                      <w:lang w:val="en-US"/>
                    </w:rPr>
                    <m:t>blank</m:t>
                  </m:r>
                </m:sub>
              </m:sSub>
            </m:e>
          </m:d>
          <m:r>
            <w:rPr>
              <w:rFonts w:ascii="Cambria Math" w:eastAsia="Cambria Math" w:hAnsi="Cambria Math" w:cs="Cambria Math"/>
              <w:color w:val="000000" w:themeColor="text1"/>
              <w:lang w:val="en-US"/>
            </w:rPr>
            <m:t>*A                                                                 (1)</m:t>
          </m:r>
        </m:oMath>
      </m:oMathPara>
    </w:p>
    <w:p w14:paraId="0000005C" w14:textId="77777777" w:rsidR="00234C7D" w:rsidRPr="007526EC" w:rsidRDefault="00234C7D">
      <w:pPr>
        <w:spacing w:line="276" w:lineRule="auto"/>
        <w:jc w:val="both"/>
        <w:rPr>
          <w:color w:val="000000" w:themeColor="text1"/>
          <w:lang w:val="en-US"/>
        </w:rPr>
      </w:pPr>
    </w:p>
    <w:p w14:paraId="0000005D" w14:textId="77777777" w:rsidR="00234C7D" w:rsidRPr="007526EC" w:rsidRDefault="00C71874">
      <w:pPr>
        <w:spacing w:line="276" w:lineRule="auto"/>
        <w:jc w:val="both"/>
        <w:rPr>
          <w:color w:val="000000" w:themeColor="text1"/>
          <w:lang w:val="en-US"/>
        </w:rPr>
      </w:pPr>
      <w:r w:rsidRPr="007526EC">
        <w:rPr>
          <w:color w:val="000000" w:themeColor="text1"/>
          <w:lang w:val="en-US"/>
        </w:rPr>
        <w:t xml:space="preserve">where A is the membrane area, </w:t>
      </w:r>
      <w:r w:rsidRPr="007526EC">
        <w:rPr>
          <w:i/>
          <w:color w:val="000000" w:themeColor="text1"/>
          <w:lang w:val="en-US"/>
        </w:rPr>
        <w:t>R</w:t>
      </w:r>
      <w:r w:rsidRPr="007526EC">
        <w:rPr>
          <w:color w:val="000000" w:themeColor="text1"/>
          <w:lang w:val="en-US"/>
        </w:rPr>
        <w:t xml:space="preserve"> is the measured resistance in the seeded BBB-on-chip device, and </w:t>
      </w:r>
      <w:proofErr w:type="spellStart"/>
      <w:r w:rsidRPr="007526EC">
        <w:rPr>
          <w:i/>
          <w:color w:val="000000" w:themeColor="text1"/>
          <w:lang w:val="en-US"/>
        </w:rPr>
        <w:t>R</w:t>
      </w:r>
      <w:r w:rsidRPr="007526EC">
        <w:rPr>
          <w:color w:val="000000" w:themeColor="text1"/>
          <w:vertAlign w:val="subscript"/>
          <w:lang w:val="en-US"/>
        </w:rPr>
        <w:t>blank</w:t>
      </w:r>
      <w:proofErr w:type="spellEnd"/>
      <w:r w:rsidRPr="007526EC">
        <w:rPr>
          <w:color w:val="000000" w:themeColor="text1"/>
          <w:lang w:val="en-US"/>
        </w:rPr>
        <w:t xml:space="preserve"> is the resistance in the blank device.</w:t>
      </w:r>
    </w:p>
    <w:p w14:paraId="0000005E" w14:textId="77777777" w:rsidR="00234C7D" w:rsidRPr="007526EC" w:rsidRDefault="00234C7D">
      <w:pPr>
        <w:spacing w:line="276" w:lineRule="auto"/>
        <w:rPr>
          <w:b/>
          <w:i/>
          <w:color w:val="000000" w:themeColor="text1"/>
          <w:lang w:val="en-US"/>
        </w:rPr>
      </w:pPr>
    </w:p>
    <w:p w14:paraId="0000005F" w14:textId="04A3527B" w:rsidR="00234C7D" w:rsidRPr="007526EC" w:rsidRDefault="00C71874">
      <w:pPr>
        <w:spacing w:line="276" w:lineRule="auto"/>
        <w:jc w:val="both"/>
        <w:rPr>
          <w:color w:val="000000" w:themeColor="text1"/>
          <w:lang w:val="en-US"/>
        </w:rPr>
      </w:pPr>
      <w:r w:rsidRPr="007526EC">
        <w:rPr>
          <w:i/>
          <w:color w:val="000000" w:themeColor="text1"/>
          <w:lang w:val="en-US"/>
        </w:rPr>
        <w:t>Characterization of BBB permeability</w:t>
      </w:r>
      <w:r w:rsidRPr="007526EC">
        <w:rPr>
          <w:color w:val="000000" w:themeColor="text1"/>
          <w:lang w:val="en-US"/>
        </w:rPr>
        <w:t xml:space="preserve">: Permeability was assessed using 40, 70, and 150 </w:t>
      </w:r>
      <w:proofErr w:type="spellStart"/>
      <w:r w:rsidRPr="007526EC">
        <w:rPr>
          <w:color w:val="000000" w:themeColor="text1"/>
          <w:lang w:val="en-US"/>
        </w:rPr>
        <w:t>kDa</w:t>
      </w:r>
      <w:proofErr w:type="spellEnd"/>
      <w:r w:rsidRPr="007526EC">
        <w:rPr>
          <w:color w:val="000000" w:themeColor="text1"/>
          <w:lang w:val="en-US"/>
        </w:rPr>
        <w:t xml:space="preserve"> Fluorescein isothiocyanate isomer-</w:t>
      </w:r>
      <w:proofErr w:type="spellStart"/>
      <w:r w:rsidRPr="007526EC">
        <w:rPr>
          <w:color w:val="000000" w:themeColor="text1"/>
          <w:lang w:val="en-US"/>
        </w:rPr>
        <w:t>dextrans</w:t>
      </w:r>
      <w:proofErr w:type="spellEnd"/>
      <w:r w:rsidRPr="007526EC">
        <w:rPr>
          <w:color w:val="000000" w:themeColor="text1"/>
          <w:lang w:val="en-US"/>
        </w:rPr>
        <w:t xml:space="preserve"> (FITC-dextran, 0.5 mg/mL). Three experimental groups were used: no cells, endothelial-only, and complete BBB (triculture). On day 7, the devices were perfused with FITC-dextran through the blood channel at 5 </w:t>
      </w:r>
      <w:proofErr w:type="spellStart"/>
      <w:r w:rsidRPr="007526EC">
        <w:rPr>
          <w:color w:val="000000" w:themeColor="text1"/>
          <w:lang w:val="en-US"/>
        </w:rPr>
        <w:t>μL</w:t>
      </w:r>
      <w:proofErr w:type="spellEnd"/>
      <w:r w:rsidRPr="007526EC">
        <w:rPr>
          <w:color w:val="000000" w:themeColor="text1"/>
          <w:lang w:val="en-US"/>
        </w:rPr>
        <w:t>/min and imaged at three regions of interest (ROIs) on the brain side in correspondence of the three microwells. Permeability is determined using a standard reference method, and the Apparent permeability (P</w:t>
      </w:r>
      <w:r w:rsidRPr="007526EC">
        <w:rPr>
          <w:color w:val="000000" w:themeColor="text1"/>
          <w:vertAlign w:val="subscript"/>
          <w:lang w:val="en-US"/>
        </w:rPr>
        <w:t>app</w:t>
      </w:r>
      <w:r w:rsidRPr="007526EC">
        <w:rPr>
          <w:color w:val="000000" w:themeColor="text1"/>
          <w:lang w:val="en-US"/>
        </w:rPr>
        <w:t>) and BBB-specific permeability (P</w:t>
      </w:r>
      <w:r w:rsidRPr="007526EC">
        <w:rPr>
          <w:color w:val="000000" w:themeColor="text1"/>
          <w:vertAlign w:val="subscript"/>
          <w:lang w:val="en-US"/>
        </w:rPr>
        <w:t>BBB</w:t>
      </w:r>
      <w:r w:rsidRPr="007526EC">
        <w:rPr>
          <w:color w:val="000000" w:themeColor="text1"/>
          <w:lang w:val="en-US"/>
        </w:rPr>
        <w:t>) were calculated using equations (2) and (3).</w:t>
      </w:r>
      <w:r w:rsidR="00DD40DD" w:rsidRPr="007526EC">
        <w:rPr>
          <w:color w:val="000000" w:themeColor="text1"/>
          <w:vertAlign w:val="superscript"/>
          <w:lang w:val="en-US"/>
        </w:rPr>
        <w:t xml:space="preserve"> </w:t>
      </w:r>
      <w:r w:rsidR="00DD40DD" w:rsidRPr="007526EC">
        <w:rPr>
          <w:color w:val="000000" w:themeColor="text1"/>
          <w:vertAlign w:val="superscript"/>
          <w:lang w:val="en-US"/>
        </w:rPr>
        <w:fldChar w:fldCharType="begin" w:fldLock="1"/>
      </w:r>
      <w:r w:rsidR="004D56B1" w:rsidRPr="007526EC">
        <w:rPr>
          <w:color w:val="000000" w:themeColor="text1"/>
          <w:vertAlign w:val="superscript"/>
          <w:lang w:val="en-US"/>
        </w:rPr>
        <w:instrText>ADDIN CSL_CITATION {"citationItems":[{"id":"ITEM-1","itemData":{"DOI":"10.1021/acsami.0c17102","ISSN":"1944-8252 (Electronic)","PMID":"33226228","abstract":"Here, we have developed and evaluated a microfluidic-based human  blood-brain-barrier (μBBB) platform that models and predicts brain tissue uptake of small molecule drugs and nanoparticles (NPs) targeting the central nervous system. By using a photocrosslinkable copolymer that was prepared from monomers containing benzophenone and N-hydroxysuccinimide ester functional groups, we were able to evenly coat and functionalize μBBB chip channels in situ, providing a covalently attached homogenous layer of extracellular matrix proteins. This novel approach allowed the coculture of human endothelial cells, pericytes, and astrocytes and resulted in the formation of a mimic of cerebral endothelium expressing tight junction markers and efflux proteins, resembling the native BBB. The permeability coefficients of a number of compounds, including caffeine, nitrofurantoin, dextran, sucrose, glucose, and alanine, were measured on our μBBB platform and were found to agree with reported values. In addition, we successfully visualized the receptor-mediated uptake and transcytosis of transferrin-functionalized NPs. The BBB-penetrating NPs were able to target glioma cells cultured in 3D in the brain compartment of our μBBB. In conclusion, our μBBB was able to accurately predict the BBB permeability of both small molecule pharmaceuticals and nanovectors and allowed time-resolved visualization of transcytosis. Our versatile chip design accommodates different brain disease models and is expected to be exploited in further BBB studies, aiming at replacing animal experiments.","author":[{"dropping-particle":"","family":"Peng","given":"Bo","non-dropping-particle":"","parse-names":false,"suffix":""},{"dropping-particle":"","family":"Tong","given":"Ziqiu","non-dropping-particle":"","parse-names":false,"suffix":""},{"dropping-particle":"","family":"Tong","given":"Wing Yin","non-dropping-particle":"","parse-names":false,"suffix":""},{"dropping-particle":"","family":"Pasic","given":"Paul J","non-dropping-particle":"","parse-names":false,"suffix":""},{"dropping-particle":"","family":"Oddo","given":"Arianna","non-dropping-particle":"","parse-names":false,"suffix":""},{"dropping-particle":"","family":"Dai","given":"Yitian","non-dropping-particle":"","parse-names":false,"suffix":""},{"dropping-particle":"","family":"Luo","given":"Meihua","non-dropping-particle":"","parse-names":false,"suffix":""},{"dropping-particle":"","family":"Frescene","given":"Juliette","non-dropping-particle":"","parse-names":false,"suffix":""},{"dropping-particle":"","family":"Welch","given":"Nicholas G","non-dropping-particle":"","parse-names":false,"suffix":""},{"dropping-particle":"","family":"Easton","given":"Christopher D","non-dropping-particle":"","parse-names":false,"suffix":""},{"dropping-particle":"","family":"Thissen","given":"Helmut","non-dropping-particle":"","parse-names":false,"suffix":""},{"dropping-particle":"","family":"Voelcker","given":"Nicolas H","non-dropping-particle":"","parse-names":false,"suffix":""}],"container-title":"ACS applied materials &amp; interfaces","id":"ITEM-1","issue":"51","issued":{"date-parts":[["2020","12"]]},"language":"eng","page":"56753-56766","publisher-place":"United States","title":"In Situ Surface Modification of Microfluidic Blood-Brain-Barriers for Improved  Screening of Small Molecules and Nanoparticles.","type":"article-journal","volume":"12"},"uris":["http://www.mendeley.com/documents/?uuid=beaea2f5-28bc-4248-b9c0-7463ca456d03"]}],"mendeley":{"formattedCitation":"&lt;sup&gt;[54]&lt;/sup&gt;","plainTextFormattedCitation":"[54]","previouslyFormattedCitation":"&lt;sup&gt;[54]&lt;/sup&gt;"},"properties":{"noteIndex":0},"schema":"https://github.com/citation-style-language/schema/raw/master/csl-citation.json"}</w:instrText>
      </w:r>
      <w:r w:rsidR="00DD40DD" w:rsidRPr="007526EC">
        <w:rPr>
          <w:color w:val="000000" w:themeColor="text1"/>
          <w:vertAlign w:val="superscript"/>
          <w:lang w:val="en-US"/>
        </w:rPr>
        <w:fldChar w:fldCharType="separate"/>
      </w:r>
      <w:r w:rsidR="004D56B1" w:rsidRPr="007526EC">
        <w:rPr>
          <w:noProof/>
          <w:color w:val="000000" w:themeColor="text1"/>
          <w:vertAlign w:val="superscript"/>
          <w:lang w:val="en-US"/>
        </w:rPr>
        <w:t>[54]</w:t>
      </w:r>
      <w:r w:rsidR="00DD40DD" w:rsidRPr="007526EC">
        <w:rPr>
          <w:color w:val="000000" w:themeColor="text1"/>
          <w:vertAlign w:val="superscript"/>
          <w:lang w:val="en-US"/>
        </w:rPr>
        <w:fldChar w:fldCharType="end"/>
      </w:r>
    </w:p>
    <w:p w14:paraId="00000060" w14:textId="77777777" w:rsidR="00234C7D" w:rsidRPr="007526EC" w:rsidRDefault="00000000">
      <w:pPr>
        <w:jc w:val="center"/>
        <w:rPr>
          <w:rFonts w:ascii="Cambria Math" w:eastAsia="Cambria Math" w:hAnsi="Cambria Math" w:cs="Cambria Math"/>
          <w:color w:val="000000" w:themeColor="text1"/>
          <w:lang w:val="en-US"/>
        </w:rPr>
      </w:pPr>
      <m:oMathPara>
        <m:oMath>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 xml:space="preserve">                                                                 P</m:t>
              </m:r>
            </m:e>
            <m:sub>
              <m:r>
                <w:rPr>
                  <w:rFonts w:ascii="Cambria Math" w:eastAsia="Cambria Math" w:hAnsi="Cambria Math" w:cs="Cambria Math"/>
                  <w:color w:val="000000" w:themeColor="text1"/>
                  <w:lang w:val="en-US"/>
                </w:rPr>
                <m:t>app</m:t>
              </m:r>
            </m:sub>
          </m:sSub>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C</m:t>
                  </m:r>
                </m:e>
                <m:sub>
                  <m:r>
                    <w:rPr>
                      <w:rFonts w:ascii="Cambria Math" w:eastAsia="Cambria Math" w:hAnsi="Cambria Math" w:cs="Cambria Math"/>
                      <w:color w:val="000000" w:themeColor="text1"/>
                      <w:lang w:val="en-US"/>
                    </w:rPr>
                    <m:t>(t)</m:t>
                  </m:r>
                </m:sub>
              </m:sSub>
              <m:r>
                <w:rPr>
                  <w:rFonts w:ascii="Cambria Math" w:eastAsia="Cambria Math" w:hAnsi="Cambria Math" w:cs="Cambria Math"/>
                  <w:color w:val="000000" w:themeColor="text1"/>
                  <w:lang w:val="en-US"/>
                </w:rPr>
                <m:t>V</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C</m:t>
                  </m:r>
                </m:e>
                <m:sub>
                  <m:r>
                    <w:rPr>
                      <w:rFonts w:ascii="Cambria Math" w:eastAsia="Cambria Math" w:hAnsi="Cambria Math" w:cs="Cambria Math"/>
                      <w:color w:val="000000" w:themeColor="text1"/>
                      <w:lang w:val="en-US"/>
                    </w:rPr>
                    <m:t>0</m:t>
                  </m:r>
                </m:sub>
              </m:sSub>
              <m:r>
                <w:rPr>
                  <w:rFonts w:ascii="Cambria Math" w:eastAsia="Cambria Math" w:hAnsi="Cambria Math" w:cs="Cambria Math"/>
                  <w:color w:val="000000" w:themeColor="text1"/>
                  <w:lang w:val="en-US"/>
                </w:rPr>
                <m:t>A∆T</m:t>
              </m:r>
            </m:den>
          </m:f>
          <m:r>
            <w:rPr>
              <w:rFonts w:ascii="Cambria Math" w:eastAsia="Cambria Math" w:hAnsi="Cambria Math" w:cs="Cambria Math"/>
              <w:color w:val="000000" w:themeColor="text1"/>
              <w:lang w:val="en-US"/>
            </w:rPr>
            <m:t xml:space="preserve">                                                                                  </m:t>
          </m:r>
          <m:d>
            <m:dPr>
              <m:ctrlPr>
                <w:rPr>
                  <w:rFonts w:ascii="Cambria Math" w:eastAsia="Cambria Math" w:hAnsi="Cambria Math" w:cs="Cambria Math"/>
                  <w:color w:val="000000" w:themeColor="text1"/>
                  <w:lang w:val="en-US"/>
                </w:rPr>
              </m:ctrlPr>
            </m:dPr>
            <m:e>
              <m:r>
                <w:rPr>
                  <w:rFonts w:ascii="Cambria Math" w:eastAsia="Cambria Math" w:hAnsi="Cambria Math" w:cs="Cambria Math"/>
                  <w:color w:val="000000" w:themeColor="text1"/>
                  <w:lang w:val="en-US"/>
                </w:rPr>
                <m:t>2</m:t>
              </m:r>
            </m:e>
          </m:d>
        </m:oMath>
      </m:oMathPara>
    </w:p>
    <w:p w14:paraId="00000061" w14:textId="77777777" w:rsidR="00234C7D" w:rsidRPr="007526EC" w:rsidRDefault="00C71874">
      <w:pPr>
        <w:jc w:val="center"/>
        <w:rPr>
          <w:rFonts w:ascii="Cambria Math" w:eastAsia="Cambria Math" w:hAnsi="Cambria Math" w:cs="Cambria Math"/>
          <w:color w:val="000000" w:themeColor="text1"/>
          <w:lang w:val="en-US"/>
        </w:rPr>
      </w:pPr>
      <m:oMathPara>
        <m:oMath>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BBB</m:t>
                  </m:r>
                </m:sub>
              </m:sSub>
            </m:den>
          </m:f>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app</m:t>
                  </m:r>
                </m:sub>
              </m:sSub>
            </m:den>
          </m:f>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0</m:t>
                  </m:r>
                </m:sub>
              </m:sSub>
            </m:den>
          </m:f>
          <m:r>
            <w:rPr>
              <w:rFonts w:ascii="Cambria Math" w:eastAsia="Cambria Math" w:hAnsi="Cambria Math" w:cs="Cambria Math"/>
              <w:color w:val="000000" w:themeColor="text1"/>
              <w:lang w:val="en-US"/>
            </w:rPr>
            <m:t xml:space="preserve">                                                                              (3)</m:t>
          </m:r>
        </m:oMath>
      </m:oMathPara>
    </w:p>
    <w:p w14:paraId="00000062" w14:textId="77777777" w:rsidR="00234C7D" w:rsidRPr="007526EC" w:rsidRDefault="00C71874">
      <w:pPr>
        <w:spacing w:line="276" w:lineRule="auto"/>
        <w:jc w:val="both"/>
        <w:rPr>
          <w:color w:val="000000" w:themeColor="text1"/>
          <w:lang w:val="en-US"/>
        </w:rPr>
      </w:pPr>
      <w:r w:rsidRPr="007526EC">
        <w:rPr>
          <w:color w:val="000000" w:themeColor="text1"/>
          <w:lang w:val="en-US"/>
        </w:rPr>
        <w:t xml:space="preserve">where </w:t>
      </w:r>
      <w:r w:rsidRPr="007526EC">
        <w:rPr>
          <w:i/>
          <w:color w:val="000000" w:themeColor="text1"/>
          <w:lang w:val="en-US"/>
        </w:rPr>
        <w:t>C</w:t>
      </w:r>
      <w:r w:rsidRPr="007526EC">
        <w:rPr>
          <w:color w:val="000000" w:themeColor="text1"/>
          <w:vertAlign w:val="subscript"/>
          <w:lang w:val="en-US"/>
        </w:rPr>
        <w:t>(t)</w:t>
      </w:r>
      <w:r w:rsidRPr="007526EC">
        <w:rPr>
          <w:color w:val="000000" w:themeColor="text1"/>
          <w:lang w:val="en-US"/>
        </w:rPr>
        <w:t xml:space="preserve"> is dextran concentration in the brain side, </w:t>
      </w:r>
      <w:r w:rsidRPr="007526EC">
        <w:rPr>
          <w:i/>
          <w:color w:val="000000" w:themeColor="text1"/>
          <w:lang w:val="en-US"/>
        </w:rPr>
        <w:t>V</w:t>
      </w:r>
      <w:r w:rsidRPr="007526EC">
        <w:rPr>
          <w:color w:val="000000" w:themeColor="text1"/>
          <w:lang w:val="en-US"/>
        </w:rPr>
        <w:t xml:space="preserve"> is volume, </w:t>
      </w:r>
      <w:r w:rsidRPr="007526EC">
        <w:rPr>
          <w:i/>
          <w:color w:val="000000" w:themeColor="text1"/>
          <w:lang w:val="en-US"/>
        </w:rPr>
        <w:t>C</w:t>
      </w:r>
      <w:r w:rsidRPr="007526EC">
        <w:rPr>
          <w:color w:val="000000" w:themeColor="text1"/>
          <w:vertAlign w:val="subscript"/>
          <w:lang w:val="en-US"/>
        </w:rPr>
        <w:t>0</w:t>
      </w:r>
      <w:r w:rsidRPr="007526EC">
        <w:rPr>
          <w:color w:val="000000" w:themeColor="text1"/>
          <w:lang w:val="en-US"/>
        </w:rPr>
        <w:t xml:space="preserve"> is blood-side concentration, </w:t>
      </w:r>
      <w:r w:rsidRPr="007526EC">
        <w:rPr>
          <w:i/>
          <w:color w:val="000000" w:themeColor="text1"/>
          <w:lang w:val="en-US"/>
        </w:rPr>
        <w:t>A</w:t>
      </w:r>
      <w:r w:rsidRPr="007526EC">
        <w:rPr>
          <w:color w:val="000000" w:themeColor="text1"/>
          <w:lang w:val="en-US"/>
        </w:rPr>
        <w:t xml:space="preserve"> is surface area, Δ</w:t>
      </w:r>
      <w:r w:rsidRPr="007526EC">
        <w:rPr>
          <w:i/>
          <w:color w:val="000000" w:themeColor="text1"/>
          <w:lang w:val="en-US"/>
        </w:rPr>
        <w:t>T</w:t>
      </w:r>
      <w:r w:rsidRPr="007526EC">
        <w:rPr>
          <w:color w:val="000000" w:themeColor="text1"/>
          <w:lang w:val="en-US"/>
        </w:rPr>
        <w:t xml:space="preserve"> is the assay time, and </w:t>
      </w:r>
      <w:r w:rsidRPr="007526EC">
        <w:rPr>
          <w:i/>
          <w:color w:val="000000" w:themeColor="text1"/>
          <w:lang w:val="en-US"/>
        </w:rPr>
        <w:t>P</w:t>
      </w:r>
      <w:r w:rsidRPr="007526EC">
        <w:rPr>
          <w:color w:val="000000" w:themeColor="text1"/>
          <w:vertAlign w:val="subscript"/>
          <w:lang w:val="en-US"/>
        </w:rPr>
        <w:t>0</w:t>
      </w:r>
      <w:r w:rsidRPr="007526EC">
        <w:rPr>
          <w:color w:val="000000" w:themeColor="text1"/>
          <w:lang w:val="en-US"/>
        </w:rPr>
        <w:t xml:space="preserve"> is the permeability of the blank device.</w:t>
      </w:r>
    </w:p>
    <w:p w14:paraId="00000063" w14:textId="3A6592B9"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 xml:space="preserve">Shear stress calculation and modeling: </w:t>
      </w:r>
      <w:r w:rsidRPr="007526EC">
        <w:rPr>
          <w:color w:val="000000" w:themeColor="text1"/>
          <w:lang w:val="en-US"/>
        </w:rPr>
        <w:t>Computational Fluid Dynamics (CFD) simulations were conducted using COMSOL Multiphysics 6.1 to model shear stress in the blood-side channel. The simulation used a laminar flow model, incorporating geometry, meshing, and inflow boundary condition sweeps to achieve the desired shear stress level. The working fluid was modeled as incompressible Newtonian mimicking culture media.</w:t>
      </w:r>
      <w:r w:rsidR="00DD40DD" w:rsidRPr="007526EC">
        <w:rPr>
          <w:color w:val="000000" w:themeColor="text1"/>
          <w:vertAlign w:val="superscript"/>
          <w:lang w:val="en-US"/>
        </w:rPr>
        <w:t xml:space="preserve"> </w:t>
      </w:r>
      <w:r w:rsidR="00DD40DD" w:rsidRPr="007526EC">
        <w:rPr>
          <w:color w:val="000000" w:themeColor="text1"/>
          <w:vertAlign w:val="superscript"/>
          <w:lang w:val="en-US"/>
        </w:rPr>
        <w:fldChar w:fldCharType="begin" w:fldLock="1"/>
      </w:r>
      <w:r w:rsidR="004D56B1" w:rsidRPr="007526EC">
        <w:rPr>
          <w:color w:val="000000" w:themeColor="text1"/>
          <w:vertAlign w:val="superscript"/>
          <w:lang w:val="en-US"/>
        </w:rPr>
        <w:instrText>ADDIN CSL_CITATION {"citationItems":[{"id":"ITEM-1","itemData":{"author":[{"dropping-particle":"","family":"Chan","given":"W Y","non-dropping-particle":"","parse-names":false,"suffix":""},{"dropping-particle":"","family":"Ding","given":"Y","non-dropping-particle":"","parse-names":false,"suffix":""},{"dropping-particle":"","family":"Tu","given":"J Y","non-dropping-particle":"","parse-names":false,"suffix":""}],"collection-title":"ANZIAM J.","container-title":"Proceedings of the 7th Biennial Engineering Mathematics and Applications Conference, EMAC-2005","editor":[{"dropping-particle":"","family":"Stacey","given":"Andrew","non-dropping-particle":"","parse-names":false,"suffix":""},{"dropping-particle":"","family":"Blyth","given":"Bill","non-dropping-particle":"","parse-names":false,"suffix":""},{"dropping-particle":"","family":"Shepherd","given":"John","non-dropping-particle":"","parse-names":false,"suffix":""},{"dropping-particle":"","family":"Roberts","given":"A J","non-dropping-particle":"","parse-names":false,"suffix":""}],"id":"ITEM-1","issued":{"date-parts":[["2007"]]},"note":"\\protect \\url {http://anziamj.austms.org.au/V47EMAC2005/Chan} [January 4, 2007]","page":"C507--C523","title":"Modeling of non-Newtonian blood flow through a stenosed artery incorporating fluid-structure interaction","type":"paper-conference","volume":"47"},"uris":["http://www.mendeley.com/documents/?uuid=6c459c3c-86ed-4b6a-94bb-3386408eb5ca"]},{"id":"ITEM-2","itemData":{"DOI":"https://doi.org/10.1016/j.bej.2022.108415","ISSN":"1369-703X","abstract":"This work proposes a comprehensive approach to optimize the design of microfluidic concentration gradient generators (MGGs) for biomedical applications. Exposing biological systems to controlled gradients enables fast screenings of induced concentration-dependent signals and surpasses several limitations of conventional cell culture techniques. The MGG working principle is the formation of diffusion-driven concentration gradients between a source and a sink, both connected to a cell culture chamber through an array of microchannels. The devices were modeled with Comsol Multiphysics®, in a combined fluid-dynamic and mass-transport study allowing prediction of the internal fields and guiding design optimization. Ideal MGGs must ensure fast transients (&lt; 1 h) to reach a steady gradient. To identify the key features determining the device performance, we analyzed design specifications and operating parameters including: the shape of the source and sink (width 1–2 mm), the number and length of the microchannels (17–34, and 2.5–5 mm), the flow rate (5–10 μl/min). Our results prove that the formation and shape of the gradient are strongly affected by the device geometry, and mostly by the microchannels length. In addition, higher flow rates lead to the generation of stagnation zones and increase the gradient steepness. The model optimized MGG was fabricated and proved successful in the generation of stable concentration gradients over cell monolayers inside the culture chamber.","author":[{"dropping-particle":"","family":"Micheli","given":"Sara","non-dropping-particle":"","parse-names":false,"suffix":""},{"dropping-particle":"","family":"Mocellin","given":"Paolo","non-dropping-particle":"","parse-names":false,"suffix":""},{"dropping-particle":"","family":"Sorgato","given":"Marco","non-dropping-particle":"","parse-names":false,"suffix":""},{"dropping-particle":"","family":"Bova","given":"Lorenzo","non-dropping-particle":"","parse-names":false,"suffix":""},{"dropping-particle":"","family":"Cimetta","given":"Elisa","non-dropping-particle":"","parse-names":false,"suffix":""}],"container-title":"Biochemical Engineering Journal","id":"ITEM-2","issued":{"date-parts":[["2022"]]},"page":"108415","title":"Modeling-based design specifications for microfluidic gradients generators for biomedical applications","type":"article-journal","volume":"181"},"uris":["http://www.mendeley.com/documents/?uuid=80b021d6-4e40-4a0f-8ef5-be0f4ae81ccc"]}],"mendeley":{"formattedCitation":"&lt;sup&gt;[55,56]&lt;/sup&gt;","plainTextFormattedCitation":"[55,56]","previouslyFormattedCitation":"&lt;sup&gt;[55,56]&lt;/sup&gt;"},"properties":{"noteIndex":0},"schema":"https://github.com/citation-style-language/schema/raw/master/csl-citation.json"}</w:instrText>
      </w:r>
      <w:r w:rsidR="00DD40DD" w:rsidRPr="007526EC">
        <w:rPr>
          <w:color w:val="000000" w:themeColor="text1"/>
          <w:vertAlign w:val="superscript"/>
          <w:lang w:val="en-US"/>
        </w:rPr>
        <w:fldChar w:fldCharType="separate"/>
      </w:r>
      <w:r w:rsidR="004D56B1" w:rsidRPr="007526EC">
        <w:rPr>
          <w:noProof/>
          <w:color w:val="000000" w:themeColor="text1"/>
          <w:vertAlign w:val="superscript"/>
          <w:lang w:val="en-US"/>
        </w:rPr>
        <w:t>[55,56]</w:t>
      </w:r>
      <w:r w:rsidR="00DD40DD" w:rsidRPr="007526EC">
        <w:rPr>
          <w:color w:val="000000" w:themeColor="text1"/>
          <w:vertAlign w:val="superscript"/>
          <w:lang w:val="en-US"/>
        </w:rPr>
        <w:fldChar w:fldCharType="end"/>
      </w:r>
      <w:r w:rsidRPr="007526EC">
        <w:rPr>
          <w:color w:val="000000" w:themeColor="text1"/>
          <w:lang w:val="en-US"/>
        </w:rPr>
        <w:t xml:space="preserve"> Calculated Reynolds numbers remained below 2000, confirming laminar flow conditions.</w:t>
      </w:r>
    </w:p>
    <w:p w14:paraId="00000064" w14:textId="6FDA1CAC" w:rsidR="00234C7D" w:rsidRPr="007526EC" w:rsidRDefault="00C71874">
      <w:pPr>
        <w:spacing w:line="276" w:lineRule="auto"/>
        <w:jc w:val="both"/>
        <w:rPr>
          <w:color w:val="000000" w:themeColor="text1"/>
          <w:lang w:val="en-US"/>
        </w:rPr>
      </w:pPr>
      <w:r w:rsidRPr="007526EC">
        <w:rPr>
          <w:i/>
          <w:color w:val="000000" w:themeColor="text1"/>
          <w:lang w:val="en-US"/>
        </w:rPr>
        <w:t>Immunofluorescence staining</w:t>
      </w:r>
      <w:r w:rsidR="00D81A0F" w:rsidRPr="007526EC">
        <w:rPr>
          <w:i/>
          <w:color w:val="000000" w:themeColor="text1"/>
          <w:lang w:val="en-US"/>
        </w:rPr>
        <w:t xml:space="preserve"> (IF)</w:t>
      </w:r>
      <w:r w:rsidRPr="007526EC">
        <w:rPr>
          <w:color w:val="000000" w:themeColor="text1"/>
          <w:lang w:val="en-US"/>
        </w:rPr>
        <w:t xml:space="preserve">: Cells within the BBB-on-chip were analyzed via </w:t>
      </w:r>
      <w:r w:rsidR="00D81A0F" w:rsidRPr="007526EC">
        <w:rPr>
          <w:color w:val="000000" w:themeColor="text1"/>
          <w:lang w:val="en-US"/>
        </w:rPr>
        <w:t xml:space="preserve">IF </w:t>
      </w:r>
      <w:r w:rsidRPr="007526EC">
        <w:rPr>
          <w:color w:val="000000" w:themeColor="text1"/>
          <w:lang w:val="en-US"/>
        </w:rPr>
        <w:t xml:space="preserve">for zonula </w:t>
      </w:r>
      <w:proofErr w:type="spellStart"/>
      <w:r w:rsidRPr="007526EC">
        <w:rPr>
          <w:color w:val="000000" w:themeColor="text1"/>
          <w:lang w:val="en-US"/>
        </w:rPr>
        <w:t>occludens</w:t>
      </w:r>
      <w:proofErr w:type="spellEnd"/>
      <w:r w:rsidRPr="007526EC">
        <w:rPr>
          <w:color w:val="000000" w:themeColor="text1"/>
          <w:lang w:val="en-US"/>
        </w:rPr>
        <w:t xml:space="preserve"> protein-1 (ZO-1), CD31, glial fibrillary acidic protein (GFAP) on day 7 of culture. For staining, cells were fixed on-chip using 4% paraformaldehyde (PFA, Sigma-Aldrich, Merck) in PBS, followed by permeabilization with 0.1% Triton X-100 (Sigma-Aldrich, Merck). Samples were then blocked at room temperature for 1 hour using PBS containing 5% bovine serum albumin (BSA, Sigma-Aldrich, Merck) and 0.1% Triton X-100. Subsequently, chips were incubated overnight at 4°C with primary antibodies diluted in PBS containing 5% BSA and 0.1% Triton X-100: mouse anti-CD31 (1:200, </w:t>
      </w:r>
      <w:proofErr w:type="spellStart"/>
      <w:r w:rsidRPr="007526EC">
        <w:rPr>
          <w:color w:val="000000" w:themeColor="text1"/>
          <w:lang w:val="en-US"/>
        </w:rPr>
        <w:t>Proteintech</w:t>
      </w:r>
      <w:proofErr w:type="spellEnd"/>
      <w:r w:rsidRPr="007526EC">
        <w:rPr>
          <w:color w:val="000000" w:themeColor="text1"/>
          <w:lang w:val="en-US"/>
        </w:rPr>
        <w:t xml:space="preserve"> Group, Inc, Rosemont, IL, USA</w:t>
      </w:r>
      <w:r w:rsidR="00276D28" w:rsidRPr="007526EC">
        <w:rPr>
          <w:color w:val="000000" w:themeColor="text1"/>
          <w:lang w:val="en-US"/>
        </w:rPr>
        <w:t xml:space="preserve">, </w:t>
      </w:r>
      <w:r w:rsidR="00276D28" w:rsidRPr="007526EC">
        <w:rPr>
          <w:color w:val="000000" w:themeColor="text1"/>
        </w:rPr>
        <w:t>66065-2-Ig</w:t>
      </w:r>
      <w:r w:rsidRPr="007526EC">
        <w:rPr>
          <w:color w:val="000000" w:themeColor="text1"/>
          <w:lang w:val="en-US"/>
        </w:rPr>
        <w:t xml:space="preserve">), mouse anti-ZO-1 (1:50, </w:t>
      </w:r>
      <w:proofErr w:type="spellStart"/>
      <w:r w:rsidRPr="007526EC">
        <w:rPr>
          <w:color w:val="000000" w:themeColor="text1"/>
          <w:lang w:val="en-US"/>
        </w:rPr>
        <w:t>Proteintech</w:t>
      </w:r>
      <w:proofErr w:type="spellEnd"/>
      <w:r w:rsidR="00276D28" w:rsidRPr="007526EC">
        <w:rPr>
          <w:color w:val="000000" w:themeColor="text1"/>
          <w:lang w:val="en-US"/>
        </w:rPr>
        <w:t xml:space="preserve">, </w:t>
      </w:r>
      <w:r w:rsidR="00276D28" w:rsidRPr="007526EC">
        <w:rPr>
          <w:color w:val="000000" w:themeColor="text1"/>
        </w:rPr>
        <w:t>66452-1-Ig</w:t>
      </w:r>
      <w:r w:rsidRPr="007526EC">
        <w:rPr>
          <w:color w:val="000000" w:themeColor="text1"/>
          <w:lang w:val="en-US"/>
        </w:rPr>
        <w:t xml:space="preserve">), and rabbit anti-GFAP (1:200, </w:t>
      </w:r>
      <w:proofErr w:type="spellStart"/>
      <w:r w:rsidRPr="007526EC">
        <w:rPr>
          <w:color w:val="000000" w:themeColor="text1"/>
          <w:lang w:val="en-US"/>
        </w:rPr>
        <w:t>Proteintech</w:t>
      </w:r>
      <w:proofErr w:type="spellEnd"/>
      <w:r w:rsidR="00276D28" w:rsidRPr="007526EC">
        <w:rPr>
          <w:color w:val="000000" w:themeColor="text1"/>
          <w:lang w:val="en-US"/>
        </w:rPr>
        <w:t xml:space="preserve">, </w:t>
      </w:r>
      <w:r w:rsidR="00276D28" w:rsidRPr="007526EC">
        <w:rPr>
          <w:color w:val="000000" w:themeColor="text1"/>
        </w:rPr>
        <w:t>60190-1-Ig</w:t>
      </w:r>
      <w:r w:rsidRPr="007526EC">
        <w:rPr>
          <w:color w:val="000000" w:themeColor="text1"/>
          <w:lang w:val="en-US"/>
        </w:rPr>
        <w:t xml:space="preserve">). After washing, samples were incubated for 1 hour at room temperature with Coralite488-conjugated goat anti-mouse (1:800, </w:t>
      </w:r>
      <w:proofErr w:type="spellStart"/>
      <w:r w:rsidRPr="007526EC">
        <w:rPr>
          <w:color w:val="000000" w:themeColor="text1"/>
          <w:lang w:val="en-US"/>
        </w:rPr>
        <w:t>Proteintech</w:t>
      </w:r>
      <w:proofErr w:type="spellEnd"/>
      <w:r w:rsidR="00276D28" w:rsidRPr="007526EC">
        <w:rPr>
          <w:color w:val="000000" w:themeColor="text1"/>
          <w:lang w:val="en-US"/>
        </w:rPr>
        <w:t xml:space="preserve">, </w:t>
      </w:r>
      <w:r w:rsidR="00276D28" w:rsidRPr="007526EC">
        <w:rPr>
          <w:color w:val="000000" w:themeColor="text1"/>
        </w:rPr>
        <w:t>SA00013-1</w:t>
      </w:r>
      <w:r w:rsidRPr="007526EC">
        <w:rPr>
          <w:color w:val="000000" w:themeColor="text1"/>
          <w:lang w:val="en-US"/>
        </w:rPr>
        <w:t xml:space="preserve">) and Coralite647-conjugated goat anti-rabbit (1:800, </w:t>
      </w:r>
      <w:proofErr w:type="spellStart"/>
      <w:r w:rsidRPr="007526EC">
        <w:rPr>
          <w:color w:val="000000" w:themeColor="text1"/>
          <w:lang w:val="en-US"/>
        </w:rPr>
        <w:t>Proteintech</w:t>
      </w:r>
      <w:proofErr w:type="spellEnd"/>
      <w:r w:rsidR="00276D28" w:rsidRPr="007526EC">
        <w:rPr>
          <w:color w:val="000000" w:themeColor="text1"/>
          <w:lang w:val="en-US"/>
        </w:rPr>
        <w:t xml:space="preserve">, </w:t>
      </w:r>
      <w:r w:rsidR="00276D28" w:rsidRPr="007526EC">
        <w:rPr>
          <w:color w:val="000000" w:themeColor="text1"/>
        </w:rPr>
        <w:t>SA00014-9</w:t>
      </w:r>
      <w:r w:rsidRPr="007526EC">
        <w:rPr>
          <w:color w:val="000000" w:themeColor="text1"/>
          <w:lang w:val="en-US"/>
        </w:rPr>
        <w:t>) secondary antibodies in PBS with 5% BSA and 0.1% Triton-X100. Following additional washes, nuclei were counterstained with DAPI (</w:t>
      </w:r>
      <w:r w:rsidR="00492AEF" w:rsidRPr="007526EC">
        <w:rPr>
          <w:color w:val="000000" w:themeColor="text1"/>
          <w:lang w:val="en-US"/>
        </w:rPr>
        <w:t>0.1 µg/</w:t>
      </w:r>
      <w:proofErr w:type="spellStart"/>
      <w:r w:rsidR="00492AEF" w:rsidRPr="007526EC">
        <w:rPr>
          <w:color w:val="000000" w:themeColor="text1"/>
          <w:lang w:val="en-US"/>
        </w:rPr>
        <w:t>Ml</w:t>
      </w:r>
      <w:proofErr w:type="spellEnd"/>
      <w:r w:rsidR="00492AEF" w:rsidRPr="007526EC">
        <w:rPr>
          <w:color w:val="000000" w:themeColor="text1"/>
          <w:lang w:val="en-US"/>
        </w:rPr>
        <w:t xml:space="preserve">, </w:t>
      </w:r>
      <w:r w:rsidRPr="007526EC">
        <w:rPr>
          <w:color w:val="000000" w:themeColor="text1"/>
          <w:lang w:val="en-US"/>
        </w:rPr>
        <w:t xml:space="preserve">Sigma-Aldrich, </w:t>
      </w:r>
      <w:r w:rsidR="00492AEF" w:rsidRPr="007526EC">
        <w:rPr>
          <w:color w:val="000000" w:themeColor="text1"/>
          <w:lang w:val="en-US"/>
        </w:rPr>
        <w:t>MBD0020</w:t>
      </w:r>
      <w:r w:rsidRPr="007526EC">
        <w:rPr>
          <w:color w:val="000000" w:themeColor="text1"/>
          <w:lang w:val="en-US"/>
        </w:rPr>
        <w:t xml:space="preserve">) in PBS for 10 minutes. Finally, samples were mounted using 80% glycerol (Sigma-Aldrich, Merck) in Milli-Q water. Imaging is performed using a confocal microscope (LSM 700, Zeiss, Milan, Italy). </w:t>
      </w:r>
    </w:p>
    <w:p w14:paraId="00000065" w14:textId="5B0ED126"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Spheroid formation and characterization</w:t>
      </w:r>
      <w:r w:rsidRPr="007526EC">
        <w:rPr>
          <w:color w:val="000000" w:themeColor="text1"/>
          <w:lang w:val="en-US"/>
        </w:rPr>
        <w:t>: U87 glioblastoma cells (U-87 MG, ATCC HTB-14</w:t>
      </w:r>
      <w:r w:rsidRPr="007526EC">
        <w:rPr>
          <w:color w:val="000000" w:themeColor="text1"/>
          <w:vertAlign w:val="superscript"/>
          <w:lang w:val="en-US"/>
        </w:rPr>
        <w:t>TM</w:t>
      </w:r>
      <w:r w:rsidRPr="007526EC">
        <w:rPr>
          <w:color w:val="000000" w:themeColor="text1"/>
          <w:lang w:val="en-US"/>
        </w:rPr>
        <w:t xml:space="preserve">) were maintained as monolayers in DMEM high glucose (Sial </w:t>
      </w:r>
      <w:proofErr w:type="spellStart"/>
      <w:r w:rsidRPr="007526EC">
        <w:rPr>
          <w:color w:val="000000" w:themeColor="text1"/>
          <w:lang w:val="en-US"/>
        </w:rPr>
        <w:t>s.r.l</w:t>
      </w:r>
      <w:proofErr w:type="spellEnd"/>
      <w:r w:rsidRPr="007526EC">
        <w:rPr>
          <w:color w:val="000000" w:themeColor="text1"/>
          <w:lang w:val="en-US"/>
        </w:rPr>
        <w:t>.) supplemented with 10% FBS (</w:t>
      </w:r>
      <w:proofErr w:type="spellStart"/>
      <w:r w:rsidRPr="007526EC">
        <w:rPr>
          <w:color w:val="000000" w:themeColor="text1"/>
          <w:lang w:val="en-US"/>
        </w:rPr>
        <w:t>Thermo</w:t>
      </w:r>
      <w:proofErr w:type="spellEnd"/>
      <w:r w:rsidRPr="007526EC">
        <w:rPr>
          <w:color w:val="000000" w:themeColor="text1"/>
          <w:lang w:val="en-US"/>
        </w:rPr>
        <w:t xml:space="preserve"> Fisher Scientific, Waltham, MA, USA), 1% MEM non-essential amino acids (NEAA, </w:t>
      </w:r>
      <w:proofErr w:type="spellStart"/>
      <w:r w:rsidRPr="007526EC">
        <w:rPr>
          <w:color w:val="000000" w:themeColor="text1"/>
          <w:lang w:val="en-US"/>
        </w:rPr>
        <w:t>Thermo</w:t>
      </w:r>
      <w:proofErr w:type="spellEnd"/>
      <w:r w:rsidRPr="007526EC">
        <w:rPr>
          <w:color w:val="000000" w:themeColor="text1"/>
          <w:lang w:val="en-US"/>
        </w:rPr>
        <w:t xml:space="preserve"> Fisher Scientific) and 1% P/S (Sial </w:t>
      </w:r>
      <w:proofErr w:type="spellStart"/>
      <w:r w:rsidRPr="007526EC">
        <w:rPr>
          <w:color w:val="000000" w:themeColor="text1"/>
          <w:lang w:val="en-US"/>
        </w:rPr>
        <w:t>s.r.l</w:t>
      </w:r>
      <w:proofErr w:type="spellEnd"/>
      <w:r w:rsidRPr="007526EC">
        <w:rPr>
          <w:color w:val="000000" w:themeColor="text1"/>
          <w:lang w:val="en-US"/>
        </w:rPr>
        <w:t>.), under standard cell conditions (37°C, 5% CO</w:t>
      </w:r>
      <w:r w:rsidRPr="007526EC">
        <w:rPr>
          <w:color w:val="000000" w:themeColor="text1"/>
          <w:vertAlign w:val="subscript"/>
          <w:lang w:val="en-US"/>
        </w:rPr>
        <w:t>2</w:t>
      </w:r>
      <w:r w:rsidRPr="007526EC">
        <w:rPr>
          <w:color w:val="000000" w:themeColor="text1"/>
          <w:lang w:val="en-US"/>
        </w:rPr>
        <w:t xml:space="preserve">, humidified atmosphere). Media were refreshed every 2–3 days. Spheroids were generated from </w:t>
      </w:r>
      <w:proofErr w:type="spellStart"/>
      <w:r w:rsidRPr="007526EC">
        <w:rPr>
          <w:color w:val="000000" w:themeColor="text1"/>
          <w:lang w:val="en-US"/>
        </w:rPr>
        <w:t>trypsinized</w:t>
      </w:r>
      <w:proofErr w:type="spellEnd"/>
      <w:r w:rsidRPr="007526EC">
        <w:rPr>
          <w:color w:val="000000" w:themeColor="text1"/>
          <w:lang w:val="en-US"/>
        </w:rPr>
        <w:t xml:space="preserve"> monolayer cells, as previously described</w:t>
      </w:r>
      <w:r w:rsidR="00DD40DD" w:rsidRPr="007526EC">
        <w:rPr>
          <w:color w:val="000000" w:themeColor="text1"/>
          <w:lang w:val="en-US"/>
        </w:rPr>
        <w:t xml:space="preserve">. </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{"citationItems":[{"id":"ITEM-1","itemData":{"DOI":"10.3390/foods13244167","ISSN":"2304-8158","abstract":"Mycotoxins are among the most concerning natural toxic food contaminants. Over the years, significant efforts have been made to characterize the risk associated with their exposure. However, assessing their toxicity has so far been elusive due to the lack of adequate models that closely mimic the physiological conditions of human cells in vivo. Here, we present the SpheroFlow Device (SFD), an efficient microfluidic platform designed, manufactured, and validated to evaluate mycotoxin-induced cytotoxicity under dynamic and continuous exposure in 3D culture settings. In the present study, we integrated human neuroblastoma SH-SY5Y spheroids into the SFD to assess the acute toxicity induced by the mycotoxins ochratoxin A (OTA) and patulin (PAT). The developed system enabled qualitative and quantitative measurements of concentration–response relationships and provided accurate control over the culture microenvironment. Our findings show that by enhancing 3D culture model by applying dynamic flow, SH-SY5Y spheroids exhibited different sensitivities to OTA and PAT compared to conventional static SH-SY5Y spheroids, confirming the critical role of culture models in mycotoxin toxicity assessment. This is the first study assessing the neurotoxicity of OTA and PAT on 3D neuroblastoma spheroids considering the contribution of fluid flow.","author":[{"dropping-particle":"","family":"Zingales","given":"Veronica","non-dropping-particle":"","parse-names":false,"suffix":""},{"dropping-particle":"","family":"Piunti","given":"Caterina","non-dropping-particle":"","parse-names":false,"suffix":""},{"dropping-particle":"","family":"Micheli","given":"Sara","non-dropping-particle":"","parse-names":false,"suffix":""},{"dropping-particle":"","family":"Cimetta","given":"Elisa","non-dropping-particle":"","parse-names":false,"suffix":""},{"dropping-particle":"","family":"Ruiz","given":"María-José","non-dropping-particle":"","parse-names":false,"suffix":""}],"container-title":"Foods","id":"ITEM-1","issue":"24","issued":{"date-parts":[["2024"]]},"title":"Development of an Easy-To-Use Microfluidic System to Assess Dynamic Exposure to Mycotoxins in 3D Culture Models: Evaluation of Ochratoxin A and Patulin Cytotoxicity","type":"article-journal","volume":"13"},"uris":["http://www.mendeley.com/documents/?uuid=fffbf25e-46d7-484c-bcfe-57e8893546d9"]}],"mendeley":{"formattedCitation":"&lt;sup&gt;[57]&lt;/sup&gt;","plainTextFormattedCitation":"[57]","previouslyFormattedCitation":"&lt;sup&gt;[57]&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[57]</w:t>
      </w:r>
      <w:r w:rsidR="00DD40DD" w:rsidRPr="007526EC">
        <w:rPr>
          <w:color w:val="000000" w:themeColor="text1"/>
          <w:lang w:val="en-US"/>
        </w:rPr>
        <w:fldChar w:fldCharType="end"/>
      </w:r>
      <w:r w:rsidRPr="007526EC">
        <w:rPr>
          <w:color w:val="000000" w:themeColor="text1"/>
          <w:lang w:val="en-US"/>
        </w:rPr>
        <w:t xml:space="preserve"> Briefly, 200 </w:t>
      </w:r>
      <w:proofErr w:type="spellStart"/>
      <w:r w:rsidRPr="007526EC">
        <w:rPr>
          <w:color w:val="000000" w:themeColor="text1"/>
          <w:lang w:val="en-US"/>
        </w:rPr>
        <w:t>μL</w:t>
      </w:r>
      <w:proofErr w:type="spellEnd"/>
      <w:r w:rsidRPr="007526EC">
        <w:rPr>
          <w:color w:val="000000" w:themeColor="text1"/>
          <w:lang w:val="en-US"/>
        </w:rPr>
        <w:t xml:space="preserve"> of cell suspension containing 2×10</w:t>
      </w:r>
      <w:r w:rsidRPr="007526EC">
        <w:rPr>
          <w:color w:val="000000" w:themeColor="text1"/>
          <w:vertAlign w:val="superscript"/>
          <w:lang w:val="en-US"/>
        </w:rPr>
        <w:t>3</w:t>
      </w:r>
      <w:r w:rsidRPr="007526EC">
        <w:rPr>
          <w:color w:val="000000" w:themeColor="text1"/>
          <w:lang w:val="en-US"/>
        </w:rPr>
        <w:t xml:space="preserve"> cells were seeded into each well of an Ultra-Low Attachment (ULA) 96-well round bottom plate (Corning</w:t>
      </w:r>
      <w:r w:rsidRPr="007526EC">
        <w:rPr>
          <w:color w:val="000000" w:themeColor="text1"/>
          <w:vertAlign w:val="superscript"/>
          <w:lang w:val="en-US"/>
        </w:rPr>
        <w:t>®</w:t>
      </w:r>
      <w:r w:rsidRPr="007526EC">
        <w:rPr>
          <w:color w:val="000000" w:themeColor="text1"/>
          <w:lang w:val="en-US"/>
        </w:rPr>
        <w:t xml:space="preserve">, </w:t>
      </w:r>
      <w:proofErr w:type="spellStart"/>
      <w:r w:rsidRPr="007526EC">
        <w:rPr>
          <w:color w:val="000000" w:themeColor="text1"/>
          <w:lang w:val="en-US"/>
        </w:rPr>
        <w:t>Thermo</w:t>
      </w:r>
      <w:proofErr w:type="spellEnd"/>
      <w:r w:rsidRPr="007526EC">
        <w:rPr>
          <w:color w:val="000000" w:themeColor="text1"/>
          <w:lang w:val="en-US"/>
        </w:rPr>
        <w:t xml:space="preserve"> Fisher Scientific) and centrifuged at 130 g for 10 minutes to promote aggregation. Spheroids were cultured for 7 days, with medium replenishment on day 4. Spheroid morphology and growth were monitored via brightfield imaging (Evos Imaging System, </w:t>
      </w:r>
      <w:proofErr w:type="spellStart"/>
      <w:r w:rsidRPr="007526EC">
        <w:rPr>
          <w:color w:val="000000" w:themeColor="text1"/>
          <w:lang w:val="en-US"/>
        </w:rPr>
        <w:t>Thermo</w:t>
      </w:r>
      <w:proofErr w:type="spellEnd"/>
      <w:r w:rsidRPr="007526EC">
        <w:rPr>
          <w:color w:val="000000" w:themeColor="text1"/>
          <w:lang w:val="en-US"/>
        </w:rPr>
        <w:t xml:space="preserve"> Fisher). Morphometric parameters, including size, solidity, and sphericity index (SI), were analyzed using </w:t>
      </w:r>
      <w:proofErr w:type="spellStart"/>
      <w:r w:rsidRPr="007526EC">
        <w:rPr>
          <w:color w:val="000000" w:themeColor="text1"/>
          <w:lang w:val="en-US"/>
        </w:rPr>
        <w:t>AnaSP</w:t>
      </w:r>
      <w:proofErr w:type="spellEnd"/>
      <w:r w:rsidRPr="007526EC">
        <w:rPr>
          <w:color w:val="000000" w:themeColor="text1"/>
          <w:lang w:val="en-US"/>
        </w:rPr>
        <w:t>, an open-source software.</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{"citationItems":[{"id":"ITEM-1","itemData":{"DOI":"https://doi.org/10.1016/j.cmpb.2015.02.006","ISSN":"0169-2607","abstract":"Today, more and more biological laboratories use 3D cell cultures and tissues grown in vitro as a 3D model of in vivo tumours and metastases. In the last decades, it has been extensively established that multicellular spheroids represent an efficient model to validate effects of drugs and treatments for human care applications. However, a lack of methods for quantitative analysis limits the usage of spheroids as models for routine experiments. Several methods have been proposed in literature to perform high throughput experiments employing spheroids by automatically computing different morphological parameters, such as diameter, volume and sphericity. Nevertheless, these systems are typically grounded on expensive automated technologies, that make the suggested solutions affordable only for a limited subset of laboratories, frequently performing high content screening analysis. In this work we propose AnaSP, an open source software suitable for automatically estimating several morphological parameters of spheroids, by simply analyzing brightfield images acquired with a standard widefield microscope, also not endowed with a motorized stage. The experiments performed proved sensitivity and precision of the segmentation method proposed, and excellent reliability of AnaSP to compute several morphological parameters of spheroids imaged in different conditions. AnaSP is distributed as an open source software tool. Its modular architecture and graphical user interface make it attractive also for researchers who do not work in areas of computer vision and suitable for both high content screenings and occasional spheroid-based experiments.","author":[{"dropping-particle":"","family":"Piccinini","given":"Filippo","non-dropping-particle":"","parse-names":false,"suffix":""}],"container-title":"Computer Methods and Programs in Biomedicine","id":"ITEM-1","issue":"1","issued":{"date-parts":[["2015"]]},"page":"43-52","title":"AnaSP: A software suite for automatic image analysis of multicellular spheroids","type":"article-journal","volume":"119"},"uris":["http://www.mendeley.com/documents/?uuid=2a0961aa-13c2-46df-abe2-ea3bacae9336"]}],"mendeley":{"formattedCitation":"&lt;sup&gt;[58]&lt;/sup&gt;","plainTextFormattedCitation":"[58]","previouslyFormattedCitation":"&lt;sup&gt;[58]&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[58]</w:t>
      </w:r>
      <w:r w:rsidR="00DD40DD" w:rsidRPr="007526EC">
        <w:rPr>
          <w:color w:val="000000" w:themeColor="text1"/>
          <w:lang w:val="en-US"/>
        </w:rPr>
        <w:fldChar w:fldCharType="end"/>
      </w:r>
      <w:r w:rsidRPr="007526EC">
        <w:rPr>
          <w:color w:val="000000" w:themeColor="text1"/>
          <w:lang w:val="en-US"/>
        </w:rPr>
        <w:t xml:space="preserve"> On day 7, viability was assessed using a Live/Dead assay with </w:t>
      </w:r>
      <w:proofErr w:type="spellStart"/>
      <w:r w:rsidRPr="007526EC">
        <w:rPr>
          <w:color w:val="000000" w:themeColor="text1"/>
          <w:lang w:val="en-US"/>
        </w:rPr>
        <w:t>Calcein</w:t>
      </w:r>
      <w:proofErr w:type="spellEnd"/>
      <w:r w:rsidRPr="007526EC">
        <w:rPr>
          <w:color w:val="000000" w:themeColor="text1"/>
          <w:lang w:val="en-US"/>
        </w:rPr>
        <w:t>-AM (1</w:t>
      </w:r>
      <w:r w:rsidR="00492AEF" w:rsidRPr="007526EC">
        <w:rPr>
          <w:color w:val="000000" w:themeColor="text1"/>
          <w:lang w:val="en-US"/>
        </w:rPr>
        <w:t>µg/mL</w:t>
      </w:r>
      <w:r w:rsidRPr="007526EC">
        <w:rPr>
          <w:color w:val="000000" w:themeColor="text1"/>
          <w:lang w:val="en-US"/>
        </w:rPr>
        <w:t xml:space="preserve">, Sigma-Aldrich, </w:t>
      </w:r>
      <w:r w:rsidR="00633B06" w:rsidRPr="007526EC">
        <w:rPr>
          <w:color w:val="000000" w:themeColor="text1"/>
          <w:lang w:val="en-US"/>
        </w:rPr>
        <w:t>17783</w:t>
      </w:r>
      <w:r w:rsidRPr="007526EC">
        <w:rPr>
          <w:color w:val="000000" w:themeColor="text1"/>
          <w:lang w:val="en-US"/>
        </w:rPr>
        <w:t>), Hoechst</w:t>
      </w:r>
      <w:r w:rsidR="00492AEF" w:rsidRPr="007526EC">
        <w:rPr>
          <w:color w:val="000000" w:themeColor="text1"/>
          <w:lang w:val="en-US"/>
        </w:rPr>
        <w:t xml:space="preserve"> 33342</w:t>
      </w:r>
      <w:r w:rsidRPr="007526EC">
        <w:rPr>
          <w:color w:val="000000" w:themeColor="text1"/>
          <w:lang w:val="en-US"/>
        </w:rPr>
        <w:t xml:space="preserve"> (</w:t>
      </w:r>
      <w:r w:rsidR="00492AEF" w:rsidRPr="007526EC">
        <w:rPr>
          <w:color w:val="000000" w:themeColor="text1"/>
          <w:lang w:val="en-US"/>
        </w:rPr>
        <w:t>2 µg/mL</w:t>
      </w:r>
      <w:r w:rsidRPr="007526EC">
        <w:rPr>
          <w:color w:val="000000" w:themeColor="text1"/>
          <w:lang w:val="en-US"/>
        </w:rPr>
        <w:t xml:space="preserve">, Sigma-Aldrich, </w:t>
      </w:r>
      <w:r w:rsidR="00492AEF" w:rsidRPr="007526EC">
        <w:rPr>
          <w:color w:val="000000" w:themeColor="text1"/>
        </w:rPr>
        <w:t>14533</w:t>
      </w:r>
      <w:r w:rsidRPr="007526EC">
        <w:rPr>
          <w:color w:val="000000" w:themeColor="text1"/>
          <w:lang w:val="en-US"/>
        </w:rPr>
        <w:t>) and Propidium Iodide (</w:t>
      </w:r>
      <w:r w:rsidR="00492AEF" w:rsidRPr="007526EC">
        <w:rPr>
          <w:color w:val="000000" w:themeColor="text1"/>
          <w:lang w:val="en-US"/>
        </w:rPr>
        <w:t>50 µg/mL</w:t>
      </w:r>
      <w:r w:rsidRPr="007526EC">
        <w:rPr>
          <w:color w:val="000000" w:themeColor="text1"/>
          <w:lang w:val="en-US"/>
        </w:rPr>
        <w:t xml:space="preserve">, </w:t>
      </w:r>
      <w:r w:rsidR="00492AEF" w:rsidRPr="007526EC">
        <w:rPr>
          <w:color w:val="000000" w:themeColor="text1"/>
          <w:lang w:val="en-US"/>
        </w:rPr>
        <w:t>Sigma-Aldrich, P4864</w:t>
      </w:r>
      <w:r w:rsidRPr="007526EC">
        <w:rPr>
          <w:color w:val="000000" w:themeColor="text1"/>
          <w:lang w:val="en-US"/>
        </w:rPr>
        <w:t xml:space="preserve">) in PBS. After replacing the culture medium with 100 </w:t>
      </w:r>
      <w:proofErr w:type="spellStart"/>
      <w:r w:rsidRPr="007526EC">
        <w:rPr>
          <w:color w:val="000000" w:themeColor="text1"/>
          <w:lang w:val="en-US"/>
        </w:rPr>
        <w:t>μl</w:t>
      </w:r>
      <w:proofErr w:type="spellEnd"/>
      <w:r w:rsidRPr="007526EC">
        <w:rPr>
          <w:color w:val="000000" w:themeColor="text1"/>
          <w:lang w:val="en-US"/>
        </w:rPr>
        <w:t xml:space="preserve"> of staining solution, spheroids were incubated for 30 minutes at room </w:t>
      </w:r>
      <w:r w:rsidRPr="007526EC">
        <w:rPr>
          <w:color w:val="000000" w:themeColor="text1"/>
          <w:lang w:val="en-US"/>
        </w:rPr>
        <w:lastRenderedPageBreak/>
        <w:t xml:space="preserve">temperature in the dark and then imaged using a fluorescence microscope (Axio Imager M1, Zeiss). For cytoskeletal labeling, spheroids were fixed on day 7 with 4% PFA, permeabilized using 0.1% Triton X-100, and incubated with CoraLite594-conjugated </w:t>
      </w:r>
      <w:r w:rsidR="00492AEF" w:rsidRPr="007526EC">
        <w:rPr>
          <w:color w:val="000000" w:themeColor="text1"/>
          <w:lang w:val="en-US"/>
        </w:rPr>
        <w:t>Coralite</w:t>
      </w:r>
      <w:r w:rsidR="00492AEF" w:rsidRPr="007526EC">
        <w:rPr>
          <w:color w:val="000000" w:themeColor="text1"/>
          <w:vertAlign w:val="superscript"/>
          <w:lang w:val="en-US"/>
        </w:rPr>
        <w:t>®</w:t>
      </w:r>
      <w:r w:rsidR="00492AEF" w:rsidRPr="007526EC">
        <w:rPr>
          <w:color w:val="000000" w:themeColor="text1"/>
          <w:lang w:val="en-US"/>
        </w:rPr>
        <w:t>594-</w:t>
      </w:r>
      <w:r w:rsidRPr="007526EC">
        <w:rPr>
          <w:color w:val="000000" w:themeColor="text1"/>
          <w:lang w:val="en-US"/>
        </w:rPr>
        <w:t xml:space="preserve">Phalloidin (1:400, </w:t>
      </w:r>
      <w:proofErr w:type="spellStart"/>
      <w:r w:rsidRPr="007526EC">
        <w:rPr>
          <w:color w:val="000000" w:themeColor="text1"/>
          <w:lang w:val="en-US"/>
        </w:rPr>
        <w:t>Proteintech</w:t>
      </w:r>
      <w:proofErr w:type="spellEnd"/>
      <w:r w:rsidR="00492AEF" w:rsidRPr="007526EC">
        <w:rPr>
          <w:color w:val="000000" w:themeColor="text1"/>
          <w:lang w:val="en-US"/>
        </w:rPr>
        <w:t xml:space="preserve">, </w:t>
      </w:r>
      <w:r w:rsidR="00492AEF" w:rsidRPr="007526EC">
        <w:rPr>
          <w:color w:val="000000" w:themeColor="text1"/>
        </w:rPr>
        <w:t>PF00003</w:t>
      </w:r>
      <w:r w:rsidRPr="007526EC">
        <w:rPr>
          <w:color w:val="000000" w:themeColor="text1"/>
          <w:lang w:val="en-US"/>
        </w:rPr>
        <w:t>) in PBS for 1 hour at room temperature. Samples were washed, stained with DAPI (1:100) in PBS for 20 minutes, washed again, and finally imaged using a Zeiss LSM 700 confocal microscope.</w:t>
      </w:r>
    </w:p>
    <w:p w14:paraId="00000066" w14:textId="38DD2A0B"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oHSV-1-mCherry production</w:t>
      </w:r>
      <w:r w:rsidRPr="007526EC">
        <w:rPr>
          <w:color w:val="000000" w:themeColor="text1"/>
          <w:lang w:val="en-US"/>
        </w:rPr>
        <w:t xml:space="preserve">: oHSV-1-mCherry (Δγ34.5/ΔUs12/miRNA124/mCherry-oHSV-1) is an engineered oncolytic herpes simplex virus type 1 (oHSV-1) with a genomic backbone </w:t>
      </w:r>
      <w:proofErr w:type="gramStart"/>
      <w:r w:rsidRPr="007526EC">
        <w:rPr>
          <w:color w:val="000000" w:themeColor="text1"/>
          <w:lang w:val="en-US"/>
        </w:rPr>
        <w:t>similar to</w:t>
      </w:r>
      <w:proofErr w:type="gramEnd"/>
      <w:r w:rsidRPr="007526EC">
        <w:rPr>
          <w:color w:val="000000" w:themeColor="text1"/>
          <w:lang w:val="en-US"/>
        </w:rPr>
        <w:t xml:space="preserve"> the clinically approved T-VEC (</w:t>
      </w:r>
      <w:proofErr w:type="spellStart"/>
      <w:r w:rsidRPr="007526EC">
        <w:rPr>
          <w:color w:val="000000" w:themeColor="text1"/>
          <w:lang w:val="en-US"/>
        </w:rPr>
        <w:t>talimogene</w:t>
      </w:r>
      <w:proofErr w:type="spellEnd"/>
      <w:r w:rsidRPr="007526EC">
        <w:rPr>
          <w:color w:val="000000" w:themeColor="text1"/>
          <w:lang w:val="en-US"/>
        </w:rPr>
        <w:t xml:space="preserve"> </w:t>
      </w:r>
      <w:proofErr w:type="spellStart"/>
      <w:r w:rsidRPr="007526EC">
        <w:rPr>
          <w:color w:val="000000" w:themeColor="text1"/>
          <w:lang w:val="en-US"/>
        </w:rPr>
        <w:t>laherparepvec</w:t>
      </w:r>
      <w:proofErr w:type="spellEnd"/>
      <w:r w:rsidRPr="007526EC">
        <w:rPr>
          <w:color w:val="000000" w:themeColor="text1"/>
          <w:lang w:val="en-US"/>
        </w:rPr>
        <w:t xml:space="preserve">). This construct contains deletions of the </w:t>
      </w:r>
      <w:r w:rsidRPr="007526EC">
        <w:rPr>
          <w:i/>
          <w:color w:val="000000" w:themeColor="text1"/>
          <w:lang w:val="en-US"/>
        </w:rPr>
        <w:t>γ34.5</w:t>
      </w:r>
      <w:r w:rsidRPr="007526EC">
        <w:rPr>
          <w:color w:val="000000" w:themeColor="text1"/>
          <w:lang w:val="en-US"/>
        </w:rPr>
        <w:t xml:space="preserve"> and </w:t>
      </w:r>
      <w:r w:rsidRPr="007526EC">
        <w:rPr>
          <w:i/>
          <w:color w:val="000000" w:themeColor="text1"/>
          <w:lang w:val="en-US"/>
        </w:rPr>
        <w:t>Us12</w:t>
      </w:r>
      <w:r w:rsidRPr="007526EC">
        <w:rPr>
          <w:color w:val="000000" w:themeColor="text1"/>
          <w:lang w:val="en-US"/>
        </w:rPr>
        <w:t xml:space="preserve"> genes, which contribute to viral </w:t>
      </w:r>
      <w:proofErr w:type="spellStart"/>
      <w:r w:rsidRPr="007526EC">
        <w:rPr>
          <w:color w:val="000000" w:themeColor="text1"/>
          <w:lang w:val="en-US"/>
        </w:rPr>
        <w:t>neuroattenuation</w:t>
      </w:r>
      <w:proofErr w:type="spellEnd"/>
      <w:r w:rsidRPr="007526EC">
        <w:rPr>
          <w:color w:val="000000" w:themeColor="text1"/>
          <w:lang w:val="en-US"/>
        </w:rPr>
        <w:t xml:space="preserve">, but lacks the two copies of the human GM-CSF gene present in T-VEC. Additionally, it bears an </w:t>
      </w:r>
      <w:proofErr w:type="spellStart"/>
      <w:r w:rsidRPr="007526EC">
        <w:rPr>
          <w:color w:val="000000" w:themeColor="text1"/>
          <w:lang w:val="en-US"/>
        </w:rPr>
        <w:t>mCherry</w:t>
      </w:r>
      <w:proofErr w:type="spellEnd"/>
      <w:r w:rsidRPr="007526EC">
        <w:rPr>
          <w:color w:val="000000" w:themeColor="text1"/>
          <w:lang w:val="en-US"/>
        </w:rPr>
        <w:t xml:space="preserve"> expression cassette inserted into the UL55-UL56 intergenic region. Further </w:t>
      </w:r>
      <w:proofErr w:type="spellStart"/>
      <w:r w:rsidRPr="007526EC">
        <w:rPr>
          <w:color w:val="000000" w:themeColor="text1"/>
          <w:lang w:val="en-US"/>
        </w:rPr>
        <w:t>neuroattenuation</w:t>
      </w:r>
      <w:proofErr w:type="spellEnd"/>
      <w:r w:rsidRPr="007526EC">
        <w:rPr>
          <w:color w:val="000000" w:themeColor="text1"/>
          <w:lang w:val="en-US"/>
        </w:rPr>
        <w:t xml:space="preserve"> is achieved by incorporating miR-124 target sequences downstream of the essential </w:t>
      </w:r>
      <w:r w:rsidR="00A54520" w:rsidRPr="007526EC">
        <w:rPr>
          <w:strike/>
          <w:color w:val="000000" w:themeColor="text1"/>
          <w:lang w:val="en-US"/>
        </w:rPr>
        <w:t>g</w:t>
      </w:r>
      <w:r w:rsidRPr="007526EC">
        <w:rPr>
          <w:color w:val="000000" w:themeColor="text1"/>
          <w:lang w:val="en-US"/>
        </w:rPr>
        <w:t xml:space="preserve">ene </w:t>
      </w:r>
      <w:r w:rsidRPr="007526EC">
        <w:rPr>
          <w:i/>
          <w:color w:val="000000" w:themeColor="text1"/>
          <w:lang w:val="en-US"/>
        </w:rPr>
        <w:t>UL29</w:t>
      </w:r>
      <w:r w:rsidRPr="007526EC">
        <w:rPr>
          <w:color w:val="000000" w:themeColor="text1"/>
          <w:lang w:val="en-US"/>
        </w:rPr>
        <w:t xml:space="preserve">, </w:t>
      </w:r>
      <w:r w:rsidR="00AB7584" w:rsidRPr="007526EC">
        <w:rPr>
          <w:color w:val="000000" w:themeColor="text1"/>
          <w:lang w:val="en-US"/>
        </w:rPr>
        <w:t xml:space="preserve">to </w:t>
      </w:r>
      <w:r w:rsidR="000A18DA" w:rsidRPr="007526EC">
        <w:rPr>
          <w:color w:val="000000" w:themeColor="text1"/>
          <w:lang w:val="en-US"/>
        </w:rPr>
        <w:t xml:space="preserve">further </w:t>
      </w:r>
      <w:r w:rsidR="00AB7584" w:rsidRPr="007526EC">
        <w:rPr>
          <w:color w:val="000000" w:themeColor="text1"/>
          <w:lang w:val="en-US"/>
        </w:rPr>
        <w:t>impair</w:t>
      </w:r>
      <w:r w:rsidRPr="007526EC">
        <w:rPr>
          <w:color w:val="000000" w:themeColor="text1"/>
          <w:lang w:val="en-US"/>
        </w:rPr>
        <w:t xml:space="preserve"> viral replication in mature neurons where miR-124 is expressed. This virus was obtained via bacterial artificial chromosome (BAC) mutagenesis, following previously described protocols.</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{"citationItems":[{"id":"ITEM-1","itemData":{"DOI":"10.2144/000112096","ISSN":"0736-6205 (Print)","PMID":"16526409","abstract":"Red recombination using PCR-amplified selectable markers is a well-established  technique for mutagenesis of large DNA molecules in Escherichia coli. The system has limited efficacy and versatility, however, for markerless modifications including point mutations, deletions, and particularly insertions of longer sequences. Here we describe a procedure that combines Red recombination and cleavage with the homing endonuclease I-SceI to allow highly efficient, PCR-based DNA engineering without retention of unwanted foreign sequences. We applied the method to modification of bacterial artificial chromosome (BAC) constructs harboring an infectious herpesvirus clone to demonstrate the potential of the mutagenesis technique, which was used for the insertion of long sequences such as coding regions or promoters, introduction of point mutations, scarless deletions, and insertion of short sequences such as an epitope tag. The system proved to be highly reliable and efficient and can be adapted for a variety of different modifications of BAC clones, which are fundamental tools for applications as diverse as the generation of transgenic animals and the construction of gene therapy or vaccine vectors.","author":[{"dropping-particle":"","family":"Tischer","given":"B Karsten","non-dropping-particle":"","parse-names":false,"suffix":""},{"dropping-particle":"","family":"Einem","given":"Jens","non-dropping-particle":"von","parse-names":false,"suffix":""},{"dropping-particle":"","family":"Kaufer","given":"Benedikt","non-dropping-particle":"","parse-names":false,"suffix":""},{"dropping-particle":"","family":"Osterrieder","given":"Nikolaus","non-dropping-particle":"","parse-names":false,"suffix":""}],"container-title":"BioTechniques","id":"ITEM-1","issue":"2","issued":{"date-parts":[["2006","2"]]},"language":"eng","page":"191-197","publisher-place":"England","title":"Two-step red-mediated recombination for versatile high-efficiency markerless DNA  manipulation in Escherichia coli.","type":"article-journal","volume":"40"},"uris":["http://www.mendeley.com/documents/?uuid=9e7b5914-297a-4f52-ad87-f064bff24ccd"]}],"mendeley":{"formattedCitation":"&lt;sup&gt;[59]&lt;/sup&gt;","plainTextFormattedCitation":"[59]","previouslyFormattedCitation":"&lt;sup&gt;[59]&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[59]</w:t>
      </w:r>
      <w:r w:rsidR="00DD40DD" w:rsidRPr="007526EC">
        <w:rPr>
          <w:color w:val="000000" w:themeColor="text1"/>
          <w:lang w:val="en-US"/>
        </w:rPr>
        <w:fldChar w:fldCharType="end"/>
      </w:r>
      <w:r w:rsidRPr="007526EC">
        <w:rPr>
          <w:color w:val="000000" w:themeColor="text1"/>
          <w:vertAlign w:val="superscript"/>
          <w:lang w:val="en-US"/>
        </w:rPr>
        <w:t xml:space="preserve"> </w:t>
      </w:r>
      <w:r w:rsidRPr="007526EC">
        <w:rPr>
          <w:color w:val="000000" w:themeColor="text1"/>
          <w:lang w:val="en-US"/>
        </w:rPr>
        <w:t xml:space="preserve"> The starting material is a BAC containing the full-length genome of HSV-1 strain 17</w:t>
      </w:r>
      <w:r w:rsidRPr="007526EC">
        <w:rPr>
          <w:color w:val="000000" w:themeColor="text1"/>
          <w:sz w:val="14"/>
          <w:szCs w:val="14"/>
          <w:vertAlign w:val="superscript"/>
          <w:lang w:val="en-US"/>
        </w:rPr>
        <w:t>+</w:t>
      </w:r>
      <w:r w:rsidRPr="007526EC">
        <w:rPr>
          <w:color w:val="000000" w:themeColor="text1"/>
          <w:lang w:val="en-US"/>
        </w:rPr>
        <w:t xml:space="preserve">, modified to include </w:t>
      </w:r>
      <w:r w:rsidRPr="007526EC">
        <w:rPr>
          <w:i/>
          <w:color w:val="000000" w:themeColor="text1"/>
          <w:lang w:val="en-US"/>
        </w:rPr>
        <w:t>γ34.5</w:t>
      </w:r>
      <w:r w:rsidRPr="007526EC">
        <w:rPr>
          <w:color w:val="000000" w:themeColor="text1"/>
          <w:lang w:val="en-US"/>
        </w:rPr>
        <w:t xml:space="preserve"> deletions and an eukaryotic cassette encoding for firefly luciferase within the UL55-UL56 intergenic region. This BAC was kindly provided by Beate </w:t>
      </w:r>
      <w:proofErr w:type="spellStart"/>
      <w:r w:rsidRPr="007526EC">
        <w:rPr>
          <w:color w:val="000000" w:themeColor="text1"/>
          <w:lang w:val="en-US"/>
        </w:rPr>
        <w:t>Sodeik</w:t>
      </w:r>
      <w:proofErr w:type="spellEnd"/>
      <w:r w:rsidRPr="007526EC">
        <w:rPr>
          <w:color w:val="000000" w:themeColor="text1"/>
          <w:lang w:val="en-US"/>
        </w:rPr>
        <w:t xml:space="preserve"> (Hannover Medical School, Germany). To reconstitute infectious virus, the modified BAC was transfected into 293T cells using Lipofectamine 2000</w:t>
      </w:r>
      <w:r w:rsidRPr="007526EC">
        <w:rPr>
          <w:color w:val="000000" w:themeColor="text1"/>
          <w:sz w:val="14"/>
          <w:szCs w:val="14"/>
          <w:vertAlign w:val="superscript"/>
          <w:lang w:val="en-US"/>
        </w:rPr>
        <w:t xml:space="preserve">TM </w:t>
      </w:r>
      <w:r w:rsidRPr="007526EC">
        <w:rPr>
          <w:color w:val="000000" w:themeColor="text1"/>
          <w:lang w:val="en-US"/>
        </w:rPr>
        <w:t xml:space="preserve">(Invitrogen™, </w:t>
      </w:r>
      <w:proofErr w:type="spellStart"/>
      <w:r w:rsidRPr="007526EC">
        <w:rPr>
          <w:color w:val="000000" w:themeColor="text1"/>
          <w:lang w:val="en-US"/>
        </w:rPr>
        <w:t>Thermo</w:t>
      </w:r>
      <w:proofErr w:type="spellEnd"/>
      <w:r w:rsidRPr="007526EC">
        <w:rPr>
          <w:color w:val="000000" w:themeColor="text1"/>
          <w:lang w:val="en-US"/>
        </w:rPr>
        <w:t xml:space="preserve"> Fisher Scientific). Viral stocks were then amplified in green monkey kidney Vero cells and quantified via plaque titration assay on Vero cells, as previously reported</w:t>
      </w:r>
      <w:r w:rsidR="00DD40DD" w:rsidRPr="007526EC">
        <w:rPr>
          <w:color w:val="000000" w:themeColor="text1"/>
          <w:lang w:val="en-US"/>
        </w:rPr>
        <w:t xml:space="preserve">. </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{"citationItems":[{"id":"ITEM-1","itemData":{"DOI":"10.3390/biomedicines12071577","ISSN":"2227-9059","abstract":"Oncolytic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author":[{"dropping-particle":"","family":"Vitiello","given":"Adriana","non-dropping-particle":"","parse-names":false,"suffix":""},{"dropping-particle":"","family":"Reale","given":"Alberto","non-dropping-particle":"","parse-names":false,"suffix":""},{"dropping-particle":"","family":"Conciatori","given":"Valeria","non-dropping-particle":"","parse-names":false,"suffix":""},{"dropping-particle":"","family":"Vicco","given":"Anna","non-dropping-particle":"","parse-names":false,"suffix":""},{"dropping-particle":"","family":"Garzino-Demo","given":"Alfredo","non-dropping-particle":"","parse-names":false,"suffix":""},{"dropping-particle":"","family":"Palù","given":"Giorgio","non-dropping-particle":"","parse-names":false,"suffix":""},{"dropping-particle":"","family":"Parolin","given":"Cristina","non-dropping-particle":"","parse-names":false,"suffix":""},{"dropping-particle":"","family":"Einem","given":"Jens","non-dropping-particle":"von","parse-names":false,"suffix":""},{"dropping-particle":"","family":"Calistri","given":"Arianna","non-dropping-particle":"","parse-names":false,"suffix":""}],"container-title":"Biomedicines","id":"ITEM-1","issue":"7","issued":{"date-parts":[["2024"]]},"title":"Simultaneous Expression of Different Therapeutic Genes by Infection with Multiple Oncolytic HSV-1 Vectors","type":"article-journal","volume":"12"},"uris":["http://www.mendeley.com/documents/?uuid=96885679-00f7-4b37-92a5-5f99e2eb4947"]}],"mendeley":{"formattedCitation":"&lt;sup&gt;[60]&lt;/sup&gt;","plainTextFormattedCitation":"[60]","previouslyFormattedCitation":"&lt;sup&gt;[60]&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[60]</w:t>
      </w:r>
      <w:r w:rsidR="00DD40DD" w:rsidRPr="007526EC">
        <w:rPr>
          <w:color w:val="000000" w:themeColor="text1"/>
          <w:lang w:val="en-US"/>
        </w:rPr>
        <w:fldChar w:fldCharType="end"/>
      </w:r>
    </w:p>
    <w:p w14:paraId="00000067" w14:textId="769C4AE1"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 xml:space="preserve">Static infection of U87-MG spheroids with oHSV-1-mCherry transported by THP-1 cells: </w:t>
      </w:r>
      <w:r w:rsidRPr="007526EC">
        <w:rPr>
          <w:color w:val="000000" w:themeColor="text1"/>
          <w:lang w:val="en-US"/>
        </w:rPr>
        <w:t>After 7 days of maturation, U87-MG spheroids were inoculated with the oncolytic herpes simplex virus type 1 (oHSV-1)-</w:t>
      </w:r>
      <w:proofErr w:type="spellStart"/>
      <w:r w:rsidRPr="007526EC">
        <w:rPr>
          <w:color w:val="000000" w:themeColor="text1"/>
          <w:lang w:val="en-US"/>
        </w:rPr>
        <w:t>mCherry</w:t>
      </w:r>
      <w:proofErr w:type="spellEnd"/>
      <w:r w:rsidRPr="007526EC">
        <w:rPr>
          <w:color w:val="000000" w:themeColor="text1"/>
          <w:lang w:val="en-US"/>
        </w:rPr>
        <w:t xml:space="preserve"> at a multiplicity of infection (MOI) of 3 plaque forming units (PFU)/cell. THP-1 cells (ATCC TIB-202™) were cultured in Roswell Park Memorial Institute (RPMI, Gibco) medium supplemented with 10% FBS (</w:t>
      </w:r>
      <w:proofErr w:type="spellStart"/>
      <w:r w:rsidRPr="007526EC">
        <w:rPr>
          <w:color w:val="000000" w:themeColor="text1"/>
          <w:lang w:val="en-US"/>
        </w:rPr>
        <w:t>Thermo</w:t>
      </w:r>
      <w:proofErr w:type="spellEnd"/>
      <w:r w:rsidRPr="007526EC">
        <w:rPr>
          <w:color w:val="000000" w:themeColor="text1"/>
          <w:lang w:val="en-US"/>
        </w:rPr>
        <w:t xml:space="preserve"> Fisher Scientific) and 1% P/S, under standard cell culture conditions. Prior to infection, THP-1 cells were labeled with </w:t>
      </w:r>
      <w:proofErr w:type="spellStart"/>
      <w:r w:rsidRPr="007526EC">
        <w:rPr>
          <w:color w:val="000000" w:themeColor="text1"/>
          <w:lang w:val="en-US"/>
        </w:rPr>
        <w:t>CellTracker</w:t>
      </w:r>
      <w:proofErr w:type="spellEnd"/>
      <w:r w:rsidRPr="007526EC">
        <w:rPr>
          <w:color w:val="000000" w:themeColor="text1"/>
          <w:lang w:val="en-US"/>
        </w:rPr>
        <w:t xml:space="preserve">™ Green (C2925, Invitrogen™, </w:t>
      </w:r>
      <w:proofErr w:type="spellStart"/>
      <w:r w:rsidRPr="007526EC">
        <w:rPr>
          <w:color w:val="000000" w:themeColor="text1"/>
          <w:lang w:val="en-US"/>
        </w:rPr>
        <w:t>Thermo</w:t>
      </w:r>
      <w:proofErr w:type="spellEnd"/>
      <w:r w:rsidRPr="007526EC">
        <w:rPr>
          <w:color w:val="000000" w:themeColor="text1"/>
          <w:lang w:val="en-US"/>
        </w:rPr>
        <w:t xml:space="preserve"> Fisher Scientific) by incubation in serum-free RPMI containing the dye (</w:t>
      </w:r>
      <w:r w:rsidR="00276D28" w:rsidRPr="007526EC">
        <w:rPr>
          <w:color w:val="000000" w:themeColor="text1"/>
          <w:lang w:val="en-US"/>
        </w:rPr>
        <w:t>0.5</w:t>
      </w:r>
      <w:r w:rsidRPr="007526EC">
        <w:rPr>
          <w:color w:val="000000" w:themeColor="text1"/>
          <w:lang w:val="en-US"/>
        </w:rPr>
        <w:t xml:space="preserve"> </w:t>
      </w:r>
      <w:proofErr w:type="spellStart"/>
      <w:r w:rsidRPr="007526EC">
        <w:rPr>
          <w:color w:val="000000" w:themeColor="text1"/>
          <w:lang w:val="en-US"/>
        </w:rPr>
        <w:t>μL</w:t>
      </w:r>
      <w:proofErr w:type="spellEnd"/>
      <w:r w:rsidRPr="007526EC">
        <w:rPr>
          <w:color w:val="000000" w:themeColor="text1"/>
          <w:lang w:val="en-US"/>
        </w:rPr>
        <w:t xml:space="preserve">/mL) for 20 minutes at 37°C. Following labeling, cells were centrifuged (at 300 g, 5 minutes), washed twice with PBS, and resuspended in serum-free RPMI. Cells were then infected with oHSV-1-mCherry by incubation for 60 minutes at 37°C. Post-infection, cells were pelleted, washed three times with PBS to remove extracellular virions and resuspended in DMEM supplemented with 10% FBS. Approximately 500 infected THP-1 cells were added to each spheroid-containing well. Viral spread was monitored over time using confocal microscopy by tracking </w:t>
      </w:r>
      <w:proofErr w:type="spellStart"/>
      <w:r w:rsidRPr="007526EC">
        <w:rPr>
          <w:color w:val="000000" w:themeColor="text1"/>
          <w:lang w:val="en-US"/>
        </w:rPr>
        <w:t>mCherry</w:t>
      </w:r>
      <w:proofErr w:type="spellEnd"/>
      <w:r w:rsidRPr="007526EC">
        <w:rPr>
          <w:color w:val="000000" w:themeColor="text1"/>
          <w:lang w:val="en-US"/>
        </w:rPr>
        <w:t xml:space="preserve"> fluorescence. In parallel, the metabolic activity of the spheroids was assessed via an MTT assay (Sigma-Aldrich, Merck), serving as a proxy for cell viability and proliferation. Briefly, at selected time points, individual spheroids were transferred to flat bottom 96-well plates containing 100 µL/well of fresh medium and 50 </w:t>
      </w:r>
      <w:proofErr w:type="spellStart"/>
      <w:r w:rsidRPr="007526EC">
        <w:rPr>
          <w:color w:val="000000" w:themeColor="text1"/>
          <w:lang w:val="en-US"/>
        </w:rPr>
        <w:t>μL</w:t>
      </w:r>
      <w:proofErr w:type="spellEnd"/>
      <w:r w:rsidRPr="007526EC">
        <w:rPr>
          <w:color w:val="000000" w:themeColor="text1"/>
          <w:lang w:val="en-US"/>
        </w:rPr>
        <w:t xml:space="preserve">/well of MTT solution (5 mg/mL PBS). After a 4-hour incubation at 37°C in the dark, the resulting formazan crystals were solubilized with 50 </w:t>
      </w:r>
      <w:proofErr w:type="spellStart"/>
      <w:r w:rsidRPr="007526EC">
        <w:rPr>
          <w:color w:val="000000" w:themeColor="text1"/>
          <w:lang w:val="en-US"/>
        </w:rPr>
        <w:t>μL</w:t>
      </w:r>
      <w:proofErr w:type="spellEnd"/>
      <w:r w:rsidRPr="007526EC">
        <w:rPr>
          <w:color w:val="000000" w:themeColor="text1"/>
          <w:lang w:val="en-US"/>
        </w:rPr>
        <w:t>/well of DMSO. Absorbance was measured at 560 nm using a Spark</w:t>
      </w:r>
      <w:r w:rsidRPr="007526EC">
        <w:rPr>
          <w:color w:val="000000" w:themeColor="text1"/>
          <w:vertAlign w:val="superscript"/>
          <w:lang w:val="en-US"/>
        </w:rPr>
        <w:t>®</w:t>
      </w:r>
      <w:r w:rsidRPr="007526EC">
        <w:rPr>
          <w:color w:val="000000" w:themeColor="text1"/>
          <w:lang w:val="en-US"/>
        </w:rPr>
        <w:t xml:space="preserve"> Multimode Microplate Reader (Tecan Group Ltd., </w:t>
      </w:r>
      <w:proofErr w:type="spellStart"/>
      <w:r w:rsidRPr="007526EC">
        <w:rPr>
          <w:color w:val="000000" w:themeColor="text1"/>
          <w:lang w:val="en-US"/>
        </w:rPr>
        <w:t>Männedorf</w:t>
      </w:r>
      <w:proofErr w:type="spellEnd"/>
      <w:r w:rsidRPr="007526EC">
        <w:rPr>
          <w:color w:val="000000" w:themeColor="text1"/>
          <w:lang w:val="en-US"/>
        </w:rPr>
        <w:t xml:space="preserve">, Switzerland), and viability was relative to untreated control spheroids. </w:t>
      </w:r>
    </w:p>
    <w:p w14:paraId="00000068" w14:textId="77777777"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lastRenderedPageBreak/>
        <w:t>Perfusion of THP-1 cell</w:t>
      </w:r>
      <w:r w:rsidRPr="007526EC">
        <w:rPr>
          <w:color w:val="000000" w:themeColor="text1"/>
          <w:lang w:val="en-US"/>
        </w:rPr>
        <w:t>s</w:t>
      </w:r>
      <w:r w:rsidRPr="007526EC">
        <w:rPr>
          <w:i/>
          <w:color w:val="000000" w:themeColor="text1"/>
          <w:lang w:val="en-US"/>
        </w:rPr>
        <w:t xml:space="preserve"> infected with oHSV-1-mCherry in the BBB-on-chip: </w:t>
      </w:r>
      <w:r w:rsidRPr="007526EC">
        <w:rPr>
          <w:color w:val="000000" w:themeColor="text1"/>
          <w:lang w:val="en-US"/>
        </w:rPr>
        <w:t xml:space="preserve">Upon full maturation of the BBB structure within the microfluidic devices, at day 7 U87-MG spheroids were transferred from ULA plates into the microwells of the BBB-on-chip (one spheroid per microwell, three per device). THP-1 cells were labeled with </w:t>
      </w:r>
      <w:proofErr w:type="spellStart"/>
      <w:r w:rsidRPr="007526EC">
        <w:rPr>
          <w:color w:val="000000" w:themeColor="text1"/>
          <w:lang w:val="en-US"/>
        </w:rPr>
        <w:t>CellTracker</w:t>
      </w:r>
      <w:proofErr w:type="spellEnd"/>
      <w:r w:rsidRPr="007526EC">
        <w:rPr>
          <w:color w:val="000000" w:themeColor="text1"/>
          <w:lang w:val="en-US"/>
        </w:rPr>
        <w:t xml:space="preserve">™ Green and infected with oHSV-1-mCherry at a MOI of 3 PFU/cell, as previously described. After infection, cells were centrifuged (1000 g, 5 minutes), washed three times with PBS, and resuspended in 2 mL of DMEM supplemented with 10% FBS, yielding a final concentration of 2.5x10⁵ cells per </w:t>
      </w:r>
      <w:proofErr w:type="spellStart"/>
      <w:r w:rsidRPr="007526EC">
        <w:rPr>
          <w:color w:val="000000" w:themeColor="text1"/>
          <w:lang w:val="en-US"/>
        </w:rPr>
        <w:t>mL.</w:t>
      </w:r>
      <w:proofErr w:type="spellEnd"/>
      <w:r w:rsidRPr="007526EC">
        <w:rPr>
          <w:color w:val="000000" w:themeColor="text1"/>
          <w:lang w:val="en-US"/>
        </w:rPr>
        <w:t xml:space="preserve"> Infected THP-1 cells were perfused into the blood-side inlet of the microfluidic device using 5 mL Luer lock syringes (BD </w:t>
      </w:r>
      <w:proofErr w:type="spellStart"/>
      <w:r w:rsidRPr="007526EC">
        <w:rPr>
          <w:color w:val="000000" w:themeColor="text1"/>
          <w:lang w:val="en-US"/>
        </w:rPr>
        <w:t>PlastiPak</w:t>
      </w:r>
      <w:proofErr w:type="spellEnd"/>
      <w:r w:rsidRPr="007526EC">
        <w:rPr>
          <w:color w:val="000000" w:themeColor="text1"/>
          <w:lang w:val="en-US"/>
        </w:rPr>
        <w:t xml:space="preserve">™, Sial </w:t>
      </w:r>
      <w:proofErr w:type="spellStart"/>
      <w:r w:rsidRPr="007526EC">
        <w:rPr>
          <w:color w:val="000000" w:themeColor="text1"/>
          <w:lang w:val="en-US"/>
        </w:rPr>
        <w:t>s.r.l</w:t>
      </w:r>
      <w:proofErr w:type="spellEnd"/>
      <w:r w:rsidRPr="007526EC">
        <w:rPr>
          <w:color w:val="000000" w:themeColor="text1"/>
          <w:lang w:val="en-US"/>
        </w:rPr>
        <w:t xml:space="preserve">.) at a flow rate of 5 µL/min. Control conditions include perfusion of: </w:t>
      </w:r>
      <w:proofErr w:type="spellStart"/>
      <w:r w:rsidRPr="007526EC">
        <w:rPr>
          <w:i/>
          <w:color w:val="000000" w:themeColor="text1"/>
          <w:lang w:val="en-US"/>
        </w:rPr>
        <w:t>i</w:t>
      </w:r>
      <w:proofErr w:type="spellEnd"/>
      <w:r w:rsidRPr="007526EC">
        <w:rPr>
          <w:i/>
          <w:color w:val="000000" w:themeColor="text1"/>
          <w:lang w:val="en-US"/>
        </w:rPr>
        <w:t>.</w:t>
      </w:r>
      <w:r w:rsidRPr="007526EC">
        <w:rPr>
          <w:color w:val="000000" w:themeColor="text1"/>
          <w:lang w:val="en-US"/>
        </w:rPr>
        <w:t xml:space="preserve"> non-infected THP-1 cells (</w:t>
      </w:r>
      <w:r w:rsidRPr="007526EC">
        <w:rPr>
          <w:rFonts w:ascii="Cambria Math" w:eastAsia="Cambria Math" w:hAnsi="Cambria Math" w:cs="Cambria Math"/>
          <w:color w:val="000000" w:themeColor="text1"/>
          <w:lang w:val="en-US"/>
        </w:rPr>
        <w:t>∼</w:t>
      </w:r>
      <w:r w:rsidRPr="007526EC">
        <w:rPr>
          <w:color w:val="000000" w:themeColor="text1"/>
          <w:lang w:val="en-US"/>
        </w:rPr>
        <w:t xml:space="preserve">5x10⁵ per device) labeled only with </w:t>
      </w:r>
      <w:proofErr w:type="spellStart"/>
      <w:r w:rsidRPr="007526EC">
        <w:rPr>
          <w:color w:val="000000" w:themeColor="text1"/>
          <w:lang w:val="en-US"/>
        </w:rPr>
        <w:t>CellTracker</w:t>
      </w:r>
      <w:proofErr w:type="spellEnd"/>
      <w:r w:rsidRPr="007526EC">
        <w:rPr>
          <w:color w:val="000000" w:themeColor="text1"/>
          <w:lang w:val="en-US"/>
        </w:rPr>
        <w:t xml:space="preserve">™ Green, and </w:t>
      </w:r>
      <w:r w:rsidRPr="007526EC">
        <w:rPr>
          <w:i/>
          <w:color w:val="000000" w:themeColor="text1"/>
          <w:lang w:val="en-US"/>
        </w:rPr>
        <w:t>ii.</w:t>
      </w:r>
      <w:r w:rsidRPr="007526EC">
        <w:rPr>
          <w:color w:val="000000" w:themeColor="text1"/>
          <w:lang w:val="en-US"/>
        </w:rPr>
        <w:t xml:space="preserve"> free oHSV-1-mCherry, added directly to the perfusion medium in equivalent viral doses to those used for THP-1 infection. </w:t>
      </w:r>
    </w:p>
    <w:p w14:paraId="00000069" w14:textId="1E9F60C8" w:rsidR="00234C7D" w:rsidRPr="007526EC" w:rsidRDefault="00C71874">
      <w:pPr>
        <w:pBdr>
          <w:top w:val="nil"/>
          <w:left w:val="nil"/>
          <w:bottom w:val="nil"/>
          <w:right w:val="nil"/>
          <w:between w:val="nil"/>
        </w:pBdr>
        <w:spacing w:line="276" w:lineRule="auto"/>
        <w:jc w:val="both"/>
        <w:rPr>
          <w:color w:val="000000" w:themeColor="text1"/>
          <w:lang w:val="en-US"/>
        </w:rPr>
      </w:pPr>
      <w:r w:rsidRPr="007526EC">
        <w:rPr>
          <w:i/>
          <w:color w:val="000000" w:themeColor="text1"/>
          <w:lang w:val="en-US"/>
        </w:rPr>
        <w:t>Primary human monocytes isolation</w:t>
      </w:r>
      <w:r w:rsidRPr="007526EC">
        <w:rPr>
          <w:color w:val="000000" w:themeColor="text1"/>
          <w:lang w:val="en-US"/>
        </w:rPr>
        <w:t xml:space="preserve">: Primary human monocytes were isolated from buffy coats derived from the peripheral blood of healthy donors, provided by the Transfusion Center of the University Hospital of Padua. No prior approval from an ethical committee is required, as samples are obtained as byproducts of routine blood draws without any additional intervention or burden to the donor and all samples are fully anonymized and handled in compliance with relevant data protection and bioethics regulations. All donors were screened to exclude HIV, HBV, HCV, and Treponema pallidum infections. Peripheral Blood Mononuclear Cells (PBMCs) were first separated by density gradient centrifugation using </w:t>
      </w:r>
      <w:proofErr w:type="spellStart"/>
      <w:r w:rsidRPr="007526EC">
        <w:rPr>
          <w:color w:val="000000" w:themeColor="text1"/>
          <w:lang w:val="en-US"/>
        </w:rPr>
        <w:t>Ficoll</w:t>
      </w:r>
      <w:proofErr w:type="spellEnd"/>
      <w:r w:rsidRPr="007526EC">
        <w:rPr>
          <w:color w:val="000000" w:themeColor="text1"/>
          <w:lang w:val="en-US"/>
        </w:rPr>
        <w:t>-Paque</w:t>
      </w:r>
      <w:r w:rsidRPr="007526EC">
        <w:rPr>
          <w:color w:val="000000" w:themeColor="text1"/>
          <w:vertAlign w:val="superscript"/>
          <w:lang w:val="en-US"/>
        </w:rPr>
        <w:t>®</w:t>
      </w:r>
      <w:r w:rsidRPr="007526EC">
        <w:rPr>
          <w:color w:val="000000" w:themeColor="text1"/>
          <w:lang w:val="en-US"/>
        </w:rPr>
        <w:t xml:space="preserve"> Plus (GE17-1440-03, Sigma-Aldrich, Merck), following the manufacturer’s protocol. Briefly, the buffy coat was gently mixed by inversion (6–8 times), then diluted 1:1 with serum-free RPMI. A layer of </w:t>
      </w:r>
      <w:proofErr w:type="spellStart"/>
      <w:r w:rsidRPr="007526EC">
        <w:rPr>
          <w:color w:val="000000" w:themeColor="text1"/>
          <w:lang w:val="en-US"/>
        </w:rPr>
        <w:t>Ficoll</w:t>
      </w:r>
      <w:proofErr w:type="spellEnd"/>
      <w:r w:rsidRPr="007526EC">
        <w:rPr>
          <w:color w:val="000000" w:themeColor="text1"/>
          <w:lang w:val="en-US"/>
        </w:rPr>
        <w:t xml:space="preserve"> was carefully added to the bottom of a Falcon tube, and the diluted blood was layered on top without disturbing the gradient. The tubes were then centrifuged at 1000 g for 20 minutes. The resulting PBMC layer was carefully collected and transferred to a fresh tube.</w:t>
      </w:r>
      <w:r w:rsidR="00DD40DD" w:rsidRPr="007526EC">
        <w:rPr>
          <w:color w:val="000000" w:themeColor="text1"/>
          <w:lang w:val="en-US"/>
        </w:rPr>
        <w:fldChar w:fldCharType="begin" w:fldLock="1"/>
      </w:r>
      <w:r w:rsidR="004D56B1" w:rsidRPr="007526EC">
        <w:rPr>
          <w:color w:val="000000" w:themeColor="text1"/>
          <w:lang w:val="en-US"/>
        </w:rPr>
        <w:instrText>ADDIN CSL_CITATION {"citationItems":[{"id":"ITEM-1","itemData":{"DOI":"10.1016/0022-1759(79)90268-0","ISSN":"0022-1759 (Print)","PMID":"41875","abstract":"The use of a new commerically available medium (Percoll) for fractionation of  human mononuclear leucocytes is described. Cells can be fractionated on the basis of their densities with high reproducibility. The separated cells were characterized by morphological and functional criteria. Monocytes can be obtained in the low density fractions with a purity of 70%--90%. Lymphocytes were found in high density fractions with a purity up to 99%. No separation between E-rosette forming (E-RFC) and surface immunoglobulin-bearing lymphocytes was obtained. However, a reduced number of high avidity E-rosette forming lymphocytes (HAE-RFC) was found within low density lymphocytes. Best spontaneous DNA synthesis and reaction in mixed leucocyte culture (MLC) were obtained with cells isolated from the 1.066/1.068 density interface, whereas the stimulation with phytohemagglutinin (PHA) or pokeweed mitogen (PWM) had a peak response with cells from the 1.064/1.066 density interface. Colony forming myelopoietic stem cells and colony forming T-lymphocytes were detected in fractions of low density.","author":[{"dropping-particle":"","family":"Ulmer","given":"A J","non-dropping-particle":"","parse-names":false,"suffix":""},{"dropping-particle":"","family":"Flad","given":"H D","non-dropping-particle":"","parse-names":false,"suffix":""}],"container-title":"Journal of immunological methods","id":"ITEM-1","issue":"1","issued":{"date-parts":[["1979"]]},"language":"eng","page":"1-10","publisher-place":"Netherlands","title":"Discontinuous density gradient separation of human mononuclear leucocytes using  Percoll as gradient medium.","type":"article-journal","volume":"30"},"uris":["http://www.mendeley.com/documents/?uuid=0d32b027-ea1f-4973-a86f-07fd8b94a3c8"]}],"mendeley":{"formattedCitation":"&lt;sup&gt;[61]&lt;/sup&gt;","plainTextFormattedCitation":"[61]","previouslyFormattedCitation":"&lt;sup&gt;[61]&lt;/sup&gt;"},"properties":{"noteIndex":0},"schema":"https://github.com/citation-style-language/schema/raw/master/csl-citation.json"}</w:instrText>
      </w:r>
      <w:r w:rsidR="00DD40DD" w:rsidRPr="007526EC">
        <w:rPr>
          <w:color w:val="000000" w:themeColor="text1"/>
          <w:lang w:val="en-US"/>
        </w:rPr>
        <w:fldChar w:fldCharType="separate"/>
      </w:r>
      <w:r w:rsidR="004D56B1" w:rsidRPr="007526EC">
        <w:rPr>
          <w:noProof/>
          <w:color w:val="000000" w:themeColor="text1"/>
          <w:vertAlign w:val="superscript"/>
          <w:lang w:val="en-US"/>
        </w:rPr>
        <w:t>[61]</w:t>
      </w:r>
      <w:r w:rsidR="00DD40DD" w:rsidRPr="007526EC">
        <w:rPr>
          <w:color w:val="000000" w:themeColor="text1"/>
          <w:lang w:val="en-US"/>
        </w:rPr>
        <w:fldChar w:fldCharType="end"/>
      </w:r>
      <w:r w:rsidR="00DD40DD" w:rsidRPr="007526EC">
        <w:rPr>
          <w:color w:val="000000" w:themeColor="text1"/>
          <w:vertAlign w:val="superscript"/>
          <w:lang w:val="en-US"/>
        </w:rPr>
        <w:t xml:space="preserve"> </w:t>
      </w:r>
      <w:r w:rsidRPr="007526EC">
        <w:rPr>
          <w:color w:val="000000" w:themeColor="text1"/>
          <w:lang w:val="en-US"/>
        </w:rPr>
        <w:t xml:space="preserve"> Next, cells underwent three washes with PBS, each followed by centrifugation at 1000 g for 8 minutes. A final wash at 800 g for 10 minutes removed residual platelets. Monocytes were then positively selected using the </w:t>
      </w:r>
      <w:proofErr w:type="spellStart"/>
      <w:r w:rsidRPr="007526EC">
        <w:rPr>
          <w:color w:val="000000" w:themeColor="text1"/>
          <w:lang w:val="en-US"/>
        </w:rPr>
        <w:t>EasySep</w:t>
      </w:r>
      <w:proofErr w:type="spellEnd"/>
      <w:r w:rsidRPr="007526EC">
        <w:rPr>
          <w:color w:val="000000" w:themeColor="text1"/>
          <w:lang w:val="en-US"/>
        </w:rPr>
        <w:t>™ Human CD14 Positive Selection Kit II (</w:t>
      </w:r>
      <w:proofErr w:type="spellStart"/>
      <w:r w:rsidRPr="007526EC">
        <w:rPr>
          <w:color w:val="000000" w:themeColor="text1"/>
          <w:lang w:val="en-US"/>
        </w:rPr>
        <w:t>Stemcell</w:t>
      </w:r>
      <w:r w:rsidRPr="007526EC">
        <w:rPr>
          <w:color w:val="000000" w:themeColor="text1"/>
          <w:vertAlign w:val="superscript"/>
          <w:lang w:val="en-US"/>
        </w:rPr>
        <w:t>TM</w:t>
      </w:r>
      <w:proofErr w:type="spellEnd"/>
      <w:r w:rsidRPr="007526EC">
        <w:rPr>
          <w:color w:val="000000" w:themeColor="text1"/>
          <w:lang w:val="en-US"/>
        </w:rPr>
        <w:t xml:space="preserve"> Technologies, Vancouver, Canada), according to the manufacturer’s instructions. </w:t>
      </w:r>
    </w:p>
    <w:p w14:paraId="0000006A" w14:textId="77777777" w:rsidR="00234C7D" w:rsidRPr="007526EC" w:rsidRDefault="00C71874">
      <w:pPr>
        <w:pBdr>
          <w:top w:val="nil"/>
          <w:left w:val="nil"/>
          <w:bottom w:val="nil"/>
          <w:right w:val="nil"/>
          <w:between w:val="nil"/>
        </w:pBdr>
        <w:spacing w:before="280" w:after="280" w:line="276" w:lineRule="auto"/>
        <w:jc w:val="both"/>
        <w:rPr>
          <w:color w:val="000000" w:themeColor="text1"/>
          <w:lang w:val="en-US"/>
        </w:rPr>
      </w:pPr>
      <w:bookmarkStart w:id="2" w:name="bookmark=id.ho97dpr1zlzj" w:colFirst="0" w:colLast="0"/>
      <w:bookmarkEnd w:id="2"/>
      <w:r w:rsidRPr="007526EC">
        <w:rPr>
          <w:i/>
          <w:color w:val="000000" w:themeColor="text1"/>
          <w:lang w:val="en-US"/>
        </w:rPr>
        <w:t>Flow cytometry analysis for human primary monocytes</w:t>
      </w:r>
      <w:r w:rsidRPr="007526EC">
        <w:rPr>
          <w:color w:val="000000" w:themeColor="text1"/>
          <w:lang w:val="en-US"/>
        </w:rPr>
        <w:t>: Following isolation, human primary monocytes were counted using a hemocytometer or an automated cell counter. To assess purity, 1x10⁶ cells were resuspended in PBS and incubated with a fluorophore-conjugated anti-CD14 antibody (CD14V450, Becton Dickinson, Milan, Italy) for 30 minutes at 4°C in the dark. After incubation, cells were washed and resuspended in PBS. Samples were analyzed using a flow cytometer (FACS Canto II, Becton Dickinson) with gating applied to viable single cells. Monocyte purity was determined based on the percentage of CD14</w:t>
      </w:r>
      <w:r w:rsidRPr="007526EC">
        <w:rPr>
          <w:color w:val="000000" w:themeColor="text1"/>
          <w:vertAlign w:val="superscript"/>
          <w:lang w:val="en-US"/>
        </w:rPr>
        <w:t>+</w:t>
      </w:r>
      <w:r w:rsidRPr="007526EC">
        <w:rPr>
          <w:b/>
          <w:color w:val="000000" w:themeColor="text1"/>
          <w:lang w:val="en-US"/>
        </w:rPr>
        <w:t xml:space="preserve"> </w:t>
      </w:r>
      <w:r w:rsidRPr="007526EC">
        <w:rPr>
          <w:color w:val="000000" w:themeColor="text1"/>
          <w:lang w:val="en-US"/>
        </w:rPr>
        <w:t xml:space="preserve">cells, with a threshold of </w:t>
      </w:r>
      <w:sdt>
        <w:sdtPr>
          <w:rPr>
            <w:color w:val="000000" w:themeColor="text1"/>
            <w:lang w:val="en-US"/>
          </w:rPr>
          <w:tag w:val="goog_rdk_27"/>
          <w:id w:val="21348098"/>
        </w:sdtPr>
        <w:sdtContent>
          <w:r w:rsidRPr="007526EC">
            <w:rPr>
              <w:rFonts w:ascii="Gungsuh" w:eastAsia="Gungsuh" w:hAnsi="Gungsuh" w:cs="Gungsuh"/>
              <w:b/>
              <w:color w:val="000000" w:themeColor="text1"/>
              <w:lang w:val="en-US"/>
            </w:rPr>
            <w:t>≥</w:t>
          </w:r>
        </w:sdtContent>
      </w:sdt>
      <w:r w:rsidRPr="007526EC">
        <w:rPr>
          <w:color w:val="000000" w:themeColor="text1"/>
          <w:lang w:val="en-US"/>
        </w:rPr>
        <w:t>80% indicating successful isolation.</w:t>
      </w:r>
    </w:p>
    <w:p w14:paraId="0000006B" w14:textId="17EF05FB"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Static and BBB-on-chip infection of U87-GBM spheroids with oHSV-1-mCherry transported by primary monocytes:</w:t>
      </w:r>
      <w:r w:rsidRPr="007526EC">
        <w:rPr>
          <w:color w:val="000000" w:themeColor="text1"/>
          <w:lang w:val="en-US"/>
        </w:rPr>
        <w:t xml:space="preserve"> The static infection of U87-GBM spheroids with human primary monocytes was performed according to the protocols described in the previous sections. Human primary monocytes, isolated from buffy coats, were infected with oHSV-1-mCherry for 1 hour at 37°C.</w:t>
      </w:r>
      <w:r w:rsidR="00122F3E">
        <w:rPr>
          <w:color w:val="000000" w:themeColor="text1"/>
          <w:lang w:val="en-US"/>
        </w:rPr>
        <w:t xml:space="preserve"> </w:t>
      </w:r>
      <w:r w:rsidR="00122F3E" w:rsidRPr="00907EA2">
        <w:rPr>
          <w:color w:val="000000" w:themeColor="text1"/>
          <w:lang w:val="en-US"/>
        </w:rPr>
        <w:t xml:space="preserve">For consistency, we decided to adopt the same </w:t>
      </w:r>
      <w:r w:rsidR="00907EA2" w:rsidRPr="00907EA2">
        <w:rPr>
          <w:color w:val="000000" w:themeColor="text1"/>
          <w:lang w:val="en-US"/>
        </w:rPr>
        <w:t xml:space="preserve">3 PFU/cell </w:t>
      </w:r>
      <w:r w:rsidR="00122F3E" w:rsidRPr="00907EA2">
        <w:rPr>
          <w:color w:val="000000" w:themeColor="text1"/>
          <w:lang w:val="en-US"/>
        </w:rPr>
        <w:t xml:space="preserve">MOI used </w:t>
      </w:r>
      <w:r w:rsidR="00907EA2">
        <w:rPr>
          <w:color w:val="000000" w:themeColor="text1"/>
          <w:lang w:val="en-US"/>
        </w:rPr>
        <w:t>for</w:t>
      </w:r>
      <w:r w:rsidR="00122F3E" w:rsidRPr="00907EA2">
        <w:rPr>
          <w:color w:val="000000" w:themeColor="text1"/>
          <w:lang w:val="en-US"/>
        </w:rPr>
        <w:t xml:space="preserve"> THP-1 cells</w:t>
      </w:r>
      <w:r w:rsidR="00122F3E">
        <w:rPr>
          <w:color w:val="000000" w:themeColor="text1"/>
          <w:lang w:val="en-US"/>
        </w:rPr>
        <w:t>.</w:t>
      </w:r>
      <w:r w:rsidRPr="007526EC">
        <w:rPr>
          <w:color w:val="000000" w:themeColor="text1"/>
          <w:lang w:val="en-US"/>
        </w:rPr>
        <w:t xml:space="preserve"> After infection, cells were labeled </w:t>
      </w:r>
      <w:r w:rsidRPr="007526EC">
        <w:rPr>
          <w:color w:val="000000" w:themeColor="text1"/>
          <w:lang w:val="en-US"/>
        </w:rPr>
        <w:lastRenderedPageBreak/>
        <w:t xml:space="preserve">with </w:t>
      </w:r>
      <w:proofErr w:type="spellStart"/>
      <w:r w:rsidRPr="007526EC">
        <w:rPr>
          <w:color w:val="000000" w:themeColor="text1"/>
          <w:lang w:val="en-US"/>
        </w:rPr>
        <w:t>CellTracker</w:t>
      </w:r>
      <w:proofErr w:type="spellEnd"/>
      <w:r w:rsidRPr="007526EC">
        <w:rPr>
          <w:color w:val="000000" w:themeColor="text1"/>
          <w:lang w:val="en-US"/>
        </w:rPr>
        <w:t xml:space="preserve">™ Green (diluted in serum-free RPMI) by incubating for 20 minutes at 37°C. Monocytes were then pelleted, resuspended in DMEM supplemented with 10% FBS, and added to preformed U87-MG tumor spheroids at a concentration of 5x10³ cells per spheroid. For BBB-on-chip experiments, primary human monocytes were stained with </w:t>
      </w:r>
      <w:proofErr w:type="spellStart"/>
      <w:r w:rsidRPr="007526EC">
        <w:rPr>
          <w:color w:val="000000" w:themeColor="text1"/>
          <w:lang w:val="en-US"/>
        </w:rPr>
        <w:t>CellTracker</w:t>
      </w:r>
      <w:proofErr w:type="spellEnd"/>
      <w:r w:rsidRPr="007526EC">
        <w:rPr>
          <w:color w:val="000000" w:themeColor="text1"/>
          <w:lang w:val="en-US"/>
        </w:rPr>
        <w:t>™ Green and infected with oHSV-1-mCherry at an MOI of 3 PFU/cell, as described above. Following infection, monocytes were resuspended in 2 mL of DMEM supplemented with 10% FBS to achieve a final concentration of 3x10⁵ cells/</w:t>
      </w:r>
      <w:proofErr w:type="spellStart"/>
      <w:r w:rsidRPr="007526EC">
        <w:rPr>
          <w:color w:val="000000" w:themeColor="text1"/>
          <w:lang w:val="en-US"/>
        </w:rPr>
        <w:t>mL.</w:t>
      </w:r>
      <w:proofErr w:type="spellEnd"/>
      <w:r w:rsidRPr="007526EC">
        <w:rPr>
          <w:color w:val="000000" w:themeColor="text1"/>
          <w:lang w:val="en-US"/>
        </w:rPr>
        <w:t xml:space="preserve"> This suspension was loaded into 5 mL Luer-lock syringes and perfused through the blood-side inlet of the BBB-on-chip device at a constant flow rate of 5 µL/min. Control conditions included: </w:t>
      </w:r>
      <w:proofErr w:type="spellStart"/>
      <w:r w:rsidRPr="007526EC">
        <w:rPr>
          <w:i/>
          <w:color w:val="000000" w:themeColor="text1"/>
          <w:lang w:val="en-US"/>
        </w:rPr>
        <w:t>i</w:t>
      </w:r>
      <w:proofErr w:type="spellEnd"/>
      <w:r w:rsidRPr="007526EC">
        <w:rPr>
          <w:i/>
          <w:color w:val="000000" w:themeColor="text1"/>
          <w:lang w:val="en-US"/>
        </w:rPr>
        <w:t>.</w:t>
      </w:r>
      <w:r w:rsidRPr="007526EC">
        <w:rPr>
          <w:color w:val="000000" w:themeColor="text1"/>
          <w:lang w:val="en-US"/>
        </w:rPr>
        <w:t xml:space="preserve"> non-infected primary monocytes labeled only with </w:t>
      </w:r>
      <w:proofErr w:type="spellStart"/>
      <w:r w:rsidRPr="007526EC">
        <w:rPr>
          <w:color w:val="000000" w:themeColor="text1"/>
          <w:lang w:val="en-US"/>
        </w:rPr>
        <w:t>CellTracker</w:t>
      </w:r>
      <w:proofErr w:type="spellEnd"/>
      <w:r w:rsidRPr="007526EC">
        <w:rPr>
          <w:color w:val="000000" w:themeColor="text1"/>
          <w:lang w:val="en-US"/>
        </w:rPr>
        <w:t xml:space="preserve">™ Green (3x10⁵ cells per device), and </w:t>
      </w:r>
      <w:r w:rsidRPr="007526EC">
        <w:rPr>
          <w:i/>
          <w:color w:val="000000" w:themeColor="text1"/>
          <w:lang w:val="en-US"/>
        </w:rPr>
        <w:t>ii.</w:t>
      </w:r>
      <w:r w:rsidRPr="007526EC">
        <w:rPr>
          <w:color w:val="000000" w:themeColor="text1"/>
          <w:lang w:val="en-US"/>
        </w:rPr>
        <w:t xml:space="preserve"> free oHSV-1-mCherry, both following the same perfusion protocol. </w:t>
      </w:r>
    </w:p>
    <w:p w14:paraId="0000006C" w14:textId="77777777"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Experiments on antibody neutralization in static and BBB-on-chip conditions using infected primary monocytes</w:t>
      </w:r>
      <w:r w:rsidRPr="007526EC">
        <w:rPr>
          <w:color w:val="000000" w:themeColor="text1"/>
          <w:lang w:val="en-US"/>
        </w:rPr>
        <w:t xml:space="preserve">: Following infection, human primary monocytes stained with </w:t>
      </w:r>
      <w:proofErr w:type="spellStart"/>
      <w:r w:rsidRPr="007526EC">
        <w:rPr>
          <w:color w:val="000000" w:themeColor="text1"/>
          <w:lang w:val="en-US"/>
        </w:rPr>
        <w:t>CellTracker</w:t>
      </w:r>
      <w:proofErr w:type="spellEnd"/>
      <w:r w:rsidRPr="007526EC">
        <w:rPr>
          <w:color w:val="000000" w:themeColor="text1"/>
          <w:lang w:val="en-US"/>
        </w:rPr>
        <w:t xml:space="preserve">™ Green were resuspended in DMEM supplemented with 10% FBS and a 1:8 dilution of Human Gamma Globulin Control antibodies (IgG, Invitrogen, </w:t>
      </w:r>
      <w:proofErr w:type="spellStart"/>
      <w:r w:rsidRPr="007526EC">
        <w:rPr>
          <w:color w:val="000000" w:themeColor="text1"/>
          <w:lang w:val="en-US"/>
        </w:rPr>
        <w:t>Thermo</w:t>
      </w:r>
      <w:proofErr w:type="spellEnd"/>
      <w:r w:rsidRPr="007526EC">
        <w:rPr>
          <w:color w:val="000000" w:themeColor="text1"/>
          <w:lang w:val="en-US"/>
        </w:rPr>
        <w:t xml:space="preserve"> Fisher Scientific). A total of 5 × 10³ monocytes were added to each U87 GBM spheroid, which was resuspended in 100 </w:t>
      </w:r>
      <w:proofErr w:type="spellStart"/>
      <w:r w:rsidRPr="007526EC">
        <w:rPr>
          <w:color w:val="000000" w:themeColor="text1"/>
          <w:lang w:val="en-US"/>
        </w:rPr>
        <w:t>μL</w:t>
      </w:r>
      <w:proofErr w:type="spellEnd"/>
      <w:r w:rsidRPr="007526EC">
        <w:rPr>
          <w:color w:val="000000" w:themeColor="text1"/>
          <w:lang w:val="en-US"/>
        </w:rPr>
        <w:t xml:space="preserve"> of DMEM containing 10% FBS and 1:8 IgG. In parallel, U87-MG spheroids were directly infected with free oHSV-1-mCherry, using the same viral load used for infecting monocytes, in the presence of 1:8 diluted antibodies. Viral replication and spread within the tumor spheroids were monitored by confocal microscopy. Control spheroids, treated with either oHSV-1-mCherry-infected primary monocytes or free virus, were maintained in DMEM with 10% FBS in the absence of immunoglobulins. For BBB-on-chip studies, infected monocytes were resuspended in 2 mL of DMEM containing 10% FBS and a 1:8 dilution of human IgG. The cell suspension was then perfused into the device through the blood-side inlet. Spheroids within the BBB-on-chip were monitored over several days using confocal microscopy to assess differences in viral propagation in the presence of neutralizing antibodies, based on the delivery strategy of the oncolytic virus.</w:t>
      </w:r>
    </w:p>
    <w:p w14:paraId="0000006D" w14:textId="77777777" w:rsidR="00234C7D" w:rsidRPr="007526EC" w:rsidRDefault="00C71874">
      <w:pPr>
        <w:pBdr>
          <w:top w:val="nil"/>
          <w:left w:val="nil"/>
          <w:bottom w:val="nil"/>
          <w:right w:val="nil"/>
          <w:between w:val="nil"/>
        </w:pBdr>
        <w:spacing w:before="280" w:after="280" w:line="276" w:lineRule="auto"/>
        <w:jc w:val="both"/>
        <w:rPr>
          <w:color w:val="000000" w:themeColor="text1"/>
          <w:lang w:val="en-US"/>
        </w:rPr>
      </w:pPr>
      <w:r w:rsidRPr="007526EC">
        <w:rPr>
          <w:i/>
          <w:color w:val="000000" w:themeColor="text1"/>
          <w:lang w:val="en-US"/>
        </w:rPr>
        <w:t>Statistical Analysis</w:t>
      </w:r>
      <w:r w:rsidRPr="007526EC">
        <w:rPr>
          <w:color w:val="000000" w:themeColor="text1"/>
          <w:lang w:val="en-US"/>
        </w:rPr>
        <w:t xml:space="preserve">: Graphs were compiled using </w:t>
      </w:r>
      <w:proofErr w:type="spellStart"/>
      <w:r w:rsidRPr="007526EC">
        <w:rPr>
          <w:color w:val="000000" w:themeColor="text1"/>
          <w:lang w:val="en-US"/>
        </w:rPr>
        <w:t>OriginPro</w:t>
      </w:r>
      <w:proofErr w:type="spellEnd"/>
      <w:r w:rsidRPr="007526EC">
        <w:rPr>
          <w:color w:val="000000" w:themeColor="text1"/>
          <w:vertAlign w:val="superscript"/>
          <w:lang w:val="en-US"/>
        </w:rPr>
        <w:t>®</w:t>
      </w:r>
      <w:r w:rsidRPr="007526EC">
        <w:rPr>
          <w:color w:val="000000" w:themeColor="text1"/>
          <w:lang w:val="en-US"/>
        </w:rPr>
        <w:t xml:space="preserve"> software, and statistical analyses were performed using GraphPad Prism. All graphical data represent the mean ± standard error of the mean (SEM) from at least three independent experiments. Comparisons between multiple groups were conducted using one-way ANOVA, while comparisons between two groups were performed using the </w:t>
      </w:r>
      <w:proofErr w:type="gramStart"/>
      <w:r w:rsidRPr="007526EC">
        <w:rPr>
          <w:color w:val="000000" w:themeColor="text1"/>
          <w:lang w:val="en-US"/>
        </w:rPr>
        <w:t>Student’s</w:t>
      </w:r>
      <w:proofErr w:type="gramEnd"/>
      <w:r w:rsidRPr="007526EC">
        <w:rPr>
          <w:color w:val="000000" w:themeColor="text1"/>
          <w:lang w:val="en-US"/>
        </w:rPr>
        <w:t xml:space="preserve"> t-test. Statistical significance is indicated by asterisks, denoting differences between treated and control groups unless otherwise specified. * p &lt; 0.05, ** p &lt; 0.01, *** p &lt; 0.001, **** p &lt; 0.0001.  </w:t>
      </w:r>
    </w:p>
    <w:p w14:paraId="0000006E" w14:textId="77777777" w:rsidR="00234C7D" w:rsidRPr="007526EC" w:rsidRDefault="00C71874">
      <w:pPr>
        <w:pBdr>
          <w:top w:val="nil"/>
          <w:left w:val="nil"/>
          <w:bottom w:val="nil"/>
          <w:right w:val="nil"/>
          <w:between w:val="nil"/>
        </w:pBdr>
        <w:spacing w:line="360" w:lineRule="auto"/>
        <w:rPr>
          <w:b/>
          <w:color w:val="000000" w:themeColor="text1"/>
          <w:lang w:val="en-US"/>
        </w:rPr>
      </w:pPr>
      <w:r w:rsidRPr="007526EC">
        <w:rPr>
          <w:b/>
          <w:color w:val="000000" w:themeColor="text1"/>
          <w:lang w:val="en-US"/>
        </w:rPr>
        <w:t xml:space="preserve">Supporting Information </w:t>
      </w:r>
    </w:p>
    <w:p w14:paraId="0000006F" w14:textId="77777777" w:rsidR="00234C7D" w:rsidRPr="007526EC" w:rsidRDefault="00234C7D">
      <w:pPr>
        <w:pBdr>
          <w:top w:val="nil"/>
          <w:left w:val="nil"/>
          <w:bottom w:val="nil"/>
          <w:right w:val="nil"/>
          <w:between w:val="nil"/>
        </w:pBdr>
        <w:spacing w:line="360" w:lineRule="auto"/>
        <w:rPr>
          <w:b/>
          <w:color w:val="000000" w:themeColor="text1"/>
          <w:lang w:val="en-US"/>
        </w:rPr>
      </w:pPr>
    </w:p>
    <w:p w14:paraId="00000070" w14:textId="77777777" w:rsidR="00234C7D" w:rsidRPr="007526EC" w:rsidRDefault="00234C7D">
      <w:pPr>
        <w:pBdr>
          <w:top w:val="nil"/>
          <w:left w:val="nil"/>
          <w:bottom w:val="nil"/>
          <w:right w:val="nil"/>
          <w:between w:val="nil"/>
        </w:pBdr>
        <w:spacing w:line="360" w:lineRule="auto"/>
        <w:rPr>
          <w:b/>
          <w:color w:val="000000" w:themeColor="text1"/>
          <w:lang w:val="en-US"/>
        </w:rPr>
      </w:pPr>
    </w:p>
    <w:p w14:paraId="00000071" w14:textId="77777777" w:rsidR="00234C7D" w:rsidRPr="007526EC" w:rsidRDefault="00C71874">
      <w:pPr>
        <w:pBdr>
          <w:top w:val="nil"/>
          <w:left w:val="nil"/>
          <w:bottom w:val="nil"/>
          <w:right w:val="nil"/>
          <w:between w:val="nil"/>
        </w:pBdr>
        <w:spacing w:line="360" w:lineRule="auto"/>
        <w:rPr>
          <w:b/>
          <w:color w:val="000000" w:themeColor="text1"/>
          <w:lang w:val="en-US"/>
        </w:rPr>
      </w:pPr>
      <w:r w:rsidRPr="007526EC">
        <w:rPr>
          <w:b/>
          <w:color w:val="000000" w:themeColor="text1"/>
          <w:lang w:val="en-US"/>
        </w:rPr>
        <w:t xml:space="preserve">Acknowledgements </w:t>
      </w:r>
    </w:p>
    <w:p w14:paraId="00000072" w14:textId="3DE238EC" w:rsidR="00234C7D" w:rsidRPr="007526EC" w:rsidRDefault="00C71874">
      <w:pPr>
        <w:pBdr>
          <w:top w:val="nil"/>
          <w:left w:val="nil"/>
          <w:bottom w:val="nil"/>
          <w:right w:val="nil"/>
          <w:between w:val="nil"/>
        </w:pBdr>
        <w:spacing w:line="360" w:lineRule="auto"/>
        <w:jc w:val="both"/>
        <w:rPr>
          <w:color w:val="000000" w:themeColor="text1"/>
          <w:lang w:val="en-US"/>
        </w:rPr>
      </w:pPr>
      <w:r w:rsidRPr="007526EC">
        <w:rPr>
          <w:color w:val="000000" w:themeColor="text1"/>
          <w:lang w:val="en-US"/>
        </w:rPr>
        <w:t xml:space="preserve">This research project has received funding from the European Commission, ARACHNID project (ERC-2023-POC, id: 55008, CIME_UERI24_01) to E.C. and INFRAPLUS (Proposal number: 101131669, Proposal title: Enhancing and Evolving INFRAFRONTIER Disease Modelling Capacity </w:t>
      </w:r>
      <w:r w:rsidRPr="007526EC">
        <w:rPr>
          <w:color w:val="000000" w:themeColor="text1"/>
          <w:lang w:val="en-US"/>
        </w:rPr>
        <w:lastRenderedPageBreak/>
        <w:t xml:space="preserve">to Enable Breakthrough Research) to F.M.; Fondazione Giovanni Celeghin Contro I </w:t>
      </w:r>
      <w:proofErr w:type="spellStart"/>
      <w:r w:rsidRPr="007526EC">
        <w:rPr>
          <w:color w:val="000000" w:themeColor="text1"/>
          <w:lang w:val="en-US"/>
        </w:rPr>
        <w:t>Tumori</w:t>
      </w:r>
      <w:proofErr w:type="spellEnd"/>
      <w:r w:rsidRPr="007526EC">
        <w:rPr>
          <w:color w:val="000000" w:themeColor="text1"/>
          <w:lang w:val="en-US"/>
        </w:rPr>
        <w:t xml:space="preserve"> </w:t>
      </w:r>
      <w:proofErr w:type="spellStart"/>
      <w:r w:rsidRPr="007526EC">
        <w:rPr>
          <w:color w:val="000000" w:themeColor="text1"/>
          <w:lang w:val="en-US"/>
        </w:rPr>
        <w:t>Cerebrali</w:t>
      </w:r>
      <w:proofErr w:type="spellEnd"/>
      <w:r w:rsidRPr="007526EC">
        <w:rPr>
          <w:color w:val="000000" w:themeColor="text1"/>
          <w:lang w:val="en-US"/>
        </w:rPr>
        <w:t xml:space="preserve"> to A.C.; </w:t>
      </w:r>
      <w:proofErr w:type="spellStart"/>
      <w:r w:rsidRPr="007526EC">
        <w:rPr>
          <w:color w:val="000000" w:themeColor="text1"/>
          <w:lang w:val="en-US"/>
        </w:rPr>
        <w:t>Associazione</w:t>
      </w:r>
      <w:proofErr w:type="spellEnd"/>
      <w:r w:rsidRPr="007526EC">
        <w:rPr>
          <w:color w:val="000000" w:themeColor="text1"/>
          <w:lang w:val="en-US"/>
        </w:rPr>
        <w:t xml:space="preserve"> </w:t>
      </w:r>
      <w:proofErr w:type="spellStart"/>
      <w:r w:rsidRPr="007526EC">
        <w:rPr>
          <w:color w:val="000000" w:themeColor="text1"/>
          <w:lang w:val="en-US"/>
        </w:rPr>
        <w:t>Italiana</w:t>
      </w:r>
      <w:proofErr w:type="spellEnd"/>
      <w:r w:rsidRPr="007526EC">
        <w:rPr>
          <w:color w:val="000000" w:themeColor="text1"/>
          <w:lang w:val="en-US"/>
        </w:rPr>
        <w:t xml:space="preserve"> per la </w:t>
      </w:r>
      <w:proofErr w:type="spellStart"/>
      <w:r w:rsidRPr="007526EC">
        <w:rPr>
          <w:color w:val="000000" w:themeColor="text1"/>
          <w:lang w:val="en-US"/>
        </w:rPr>
        <w:t>Ricerca</w:t>
      </w:r>
      <w:proofErr w:type="spellEnd"/>
      <w:r w:rsidRPr="007526EC">
        <w:rPr>
          <w:color w:val="000000" w:themeColor="text1"/>
          <w:lang w:val="en-US"/>
        </w:rPr>
        <w:t xml:space="preserve"> </w:t>
      </w:r>
      <w:proofErr w:type="spellStart"/>
      <w:r w:rsidRPr="007526EC">
        <w:rPr>
          <w:color w:val="000000" w:themeColor="text1"/>
          <w:lang w:val="en-US"/>
        </w:rPr>
        <w:t>sul</w:t>
      </w:r>
      <w:proofErr w:type="spellEnd"/>
      <w:r w:rsidRPr="007526EC">
        <w:rPr>
          <w:color w:val="000000" w:themeColor="text1"/>
          <w:lang w:val="en-US"/>
        </w:rPr>
        <w:t xml:space="preserve"> Cancro (AIRC IG 27797) to F.M.; </w:t>
      </w:r>
      <w:r w:rsidR="00A357B4" w:rsidRPr="007526EC">
        <w:rPr>
          <w:color w:val="000000" w:themeColor="text1"/>
          <w:lang w:val="en-US"/>
        </w:rPr>
        <w:t xml:space="preserve">Italian Ministry of Research and University (PRIN2022A5YWJJ) to F.M.; </w:t>
      </w:r>
      <w:r w:rsidRPr="007526EC">
        <w:rPr>
          <w:color w:val="000000" w:themeColor="text1"/>
          <w:lang w:val="en-US"/>
        </w:rPr>
        <w:t>University of Padova (PARO_FINA20_01) to C.P.</w:t>
      </w:r>
    </w:p>
    <w:p w14:paraId="00000073" w14:textId="77777777" w:rsidR="00234C7D" w:rsidRPr="007526EC" w:rsidRDefault="00C71874">
      <w:pPr>
        <w:pBdr>
          <w:top w:val="nil"/>
          <w:left w:val="nil"/>
          <w:bottom w:val="nil"/>
          <w:right w:val="nil"/>
          <w:between w:val="nil"/>
        </w:pBdr>
        <w:spacing w:before="240" w:after="240" w:line="360" w:lineRule="auto"/>
        <w:rPr>
          <w:b/>
          <w:color w:val="000000" w:themeColor="text1"/>
          <w:lang w:val="en-US"/>
        </w:rPr>
      </w:pPr>
      <w:r w:rsidRPr="007526EC">
        <w:rPr>
          <w:b/>
          <w:color w:val="000000" w:themeColor="text1"/>
          <w:lang w:val="en-US"/>
        </w:rPr>
        <w:t>Conflict of Interest</w:t>
      </w:r>
    </w:p>
    <w:p w14:paraId="00000074" w14:textId="77777777" w:rsidR="00234C7D" w:rsidRPr="007526EC" w:rsidRDefault="00C71874">
      <w:pPr>
        <w:pBdr>
          <w:top w:val="nil"/>
          <w:left w:val="nil"/>
          <w:bottom w:val="nil"/>
          <w:right w:val="nil"/>
          <w:between w:val="nil"/>
        </w:pBdr>
        <w:spacing w:line="360" w:lineRule="auto"/>
        <w:rPr>
          <w:color w:val="000000" w:themeColor="text1"/>
          <w:lang w:val="en-US"/>
        </w:rPr>
      </w:pPr>
      <w:r w:rsidRPr="007526EC">
        <w:rPr>
          <w:color w:val="000000" w:themeColor="text1"/>
          <w:lang w:val="en-US"/>
        </w:rPr>
        <w:t>The authors declare no conﬂict of interest.</w:t>
      </w:r>
    </w:p>
    <w:p w14:paraId="00000075" w14:textId="77777777" w:rsidR="00234C7D" w:rsidRPr="007526EC" w:rsidRDefault="00C71874">
      <w:pPr>
        <w:pBdr>
          <w:top w:val="nil"/>
          <w:left w:val="nil"/>
          <w:bottom w:val="nil"/>
          <w:right w:val="nil"/>
          <w:between w:val="nil"/>
        </w:pBdr>
        <w:spacing w:before="240" w:after="240" w:line="276" w:lineRule="auto"/>
        <w:rPr>
          <w:b/>
          <w:color w:val="000000" w:themeColor="text1"/>
          <w:lang w:val="en-US"/>
        </w:rPr>
      </w:pPr>
      <w:r w:rsidRPr="007526EC">
        <w:rPr>
          <w:b/>
          <w:color w:val="000000" w:themeColor="text1"/>
          <w:lang w:val="en-US"/>
        </w:rPr>
        <w:t xml:space="preserve">Data Availability Statement </w:t>
      </w:r>
    </w:p>
    <w:p w14:paraId="00000076" w14:textId="77777777" w:rsidR="00234C7D" w:rsidRPr="007526EC" w:rsidRDefault="00C71874">
      <w:pPr>
        <w:pBdr>
          <w:top w:val="nil"/>
          <w:left w:val="nil"/>
          <w:bottom w:val="nil"/>
          <w:right w:val="nil"/>
          <w:between w:val="nil"/>
        </w:pBdr>
        <w:spacing w:line="276" w:lineRule="auto"/>
        <w:rPr>
          <w:color w:val="000000" w:themeColor="text1"/>
          <w:lang w:val="en-US"/>
        </w:rPr>
      </w:pPr>
      <w:r w:rsidRPr="007526EC">
        <w:rPr>
          <w:color w:val="000000" w:themeColor="text1"/>
          <w:lang w:val="en-US"/>
        </w:rPr>
        <w:t xml:space="preserve">All original data are available at: </w:t>
      </w:r>
      <w:hyperlink r:id="rId16">
        <w:r w:rsidRPr="007526EC">
          <w:rPr>
            <w:color w:val="000000" w:themeColor="text1"/>
            <w:u w:val="single"/>
            <w:lang w:val="en-US"/>
          </w:rPr>
          <w:t>https://researchdata.cab.unipd.it/id/eprint/1544</w:t>
        </w:r>
      </w:hyperlink>
    </w:p>
    <w:p w14:paraId="00000077" w14:textId="77777777" w:rsidR="00234C7D" w:rsidRPr="007526EC" w:rsidRDefault="00234C7D">
      <w:pPr>
        <w:pBdr>
          <w:top w:val="nil"/>
          <w:left w:val="nil"/>
          <w:bottom w:val="nil"/>
          <w:right w:val="nil"/>
          <w:between w:val="nil"/>
        </w:pBdr>
        <w:spacing w:line="276" w:lineRule="auto"/>
        <w:rPr>
          <w:color w:val="000000" w:themeColor="text1"/>
          <w:lang w:val="en-US"/>
        </w:rPr>
      </w:pPr>
    </w:p>
    <w:p w14:paraId="00000078" w14:textId="77777777" w:rsidR="00234C7D" w:rsidRPr="007526EC" w:rsidRDefault="00C71874">
      <w:pPr>
        <w:pBdr>
          <w:top w:val="nil"/>
          <w:left w:val="nil"/>
          <w:bottom w:val="nil"/>
          <w:right w:val="nil"/>
          <w:between w:val="nil"/>
        </w:pBdr>
        <w:spacing w:line="276" w:lineRule="auto"/>
        <w:rPr>
          <w:b/>
          <w:color w:val="000000" w:themeColor="text1"/>
          <w:lang w:val="en-US"/>
        </w:rPr>
      </w:pPr>
      <w:r w:rsidRPr="007526EC">
        <w:rPr>
          <w:b/>
          <w:color w:val="000000" w:themeColor="text1"/>
          <w:lang w:val="en-US"/>
        </w:rPr>
        <w:t>Keywords</w:t>
      </w:r>
    </w:p>
    <w:p w14:paraId="00000079" w14:textId="77777777" w:rsidR="00234C7D" w:rsidRPr="007526EC" w:rsidRDefault="00C71874">
      <w:pPr>
        <w:pBdr>
          <w:top w:val="nil"/>
          <w:left w:val="nil"/>
          <w:bottom w:val="nil"/>
          <w:right w:val="nil"/>
          <w:between w:val="nil"/>
        </w:pBdr>
        <w:spacing w:line="276" w:lineRule="auto"/>
        <w:rPr>
          <w:color w:val="000000" w:themeColor="text1"/>
          <w:lang w:val="en-US"/>
        </w:rPr>
      </w:pPr>
      <w:r w:rsidRPr="007526EC">
        <w:rPr>
          <w:color w:val="000000" w:themeColor="text1"/>
          <w:lang w:val="en-US"/>
        </w:rPr>
        <w:t>BBB-on-chip, Glioblastoma spheroids, monocytes, oncolytic HSV-1</w:t>
      </w:r>
    </w:p>
    <w:p w14:paraId="0000007A" w14:textId="7DBBBB28" w:rsidR="00234C7D" w:rsidRPr="007526EC" w:rsidRDefault="00234C7D">
      <w:pPr>
        <w:pBdr>
          <w:top w:val="nil"/>
          <w:left w:val="nil"/>
          <w:bottom w:val="nil"/>
          <w:right w:val="nil"/>
          <w:between w:val="nil"/>
        </w:pBdr>
        <w:spacing w:line="276" w:lineRule="auto"/>
        <w:rPr>
          <w:color w:val="000000" w:themeColor="text1"/>
          <w:lang w:val="en-US"/>
        </w:rPr>
      </w:pPr>
    </w:p>
    <w:p w14:paraId="2607FBAC" w14:textId="719E4DF1" w:rsidR="00276D28" w:rsidRPr="007526EC" w:rsidRDefault="00276D28">
      <w:pPr>
        <w:pBdr>
          <w:top w:val="nil"/>
          <w:left w:val="nil"/>
          <w:bottom w:val="nil"/>
          <w:right w:val="nil"/>
          <w:between w:val="nil"/>
        </w:pBdr>
        <w:spacing w:line="276" w:lineRule="auto"/>
        <w:rPr>
          <w:b/>
          <w:color w:val="000000" w:themeColor="text1"/>
          <w:lang w:val="en-US"/>
        </w:rPr>
      </w:pPr>
      <w:r w:rsidRPr="007526EC">
        <w:rPr>
          <w:b/>
          <w:color w:val="000000" w:themeColor="text1"/>
          <w:lang w:val="en-US"/>
        </w:rPr>
        <w:t xml:space="preserve">References </w:t>
      </w:r>
    </w:p>
    <w:p w14:paraId="612105F8" w14:textId="77777777" w:rsidR="00276D28" w:rsidRPr="007526EC" w:rsidRDefault="00276D28">
      <w:pPr>
        <w:pBdr>
          <w:top w:val="nil"/>
          <w:left w:val="nil"/>
          <w:bottom w:val="nil"/>
          <w:right w:val="nil"/>
          <w:between w:val="nil"/>
        </w:pBdr>
        <w:spacing w:line="276" w:lineRule="auto"/>
        <w:rPr>
          <w:color w:val="000000" w:themeColor="text1"/>
          <w:lang w:val="en-US"/>
        </w:rPr>
      </w:pPr>
    </w:p>
    <w:p w14:paraId="6AB34540"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color w:val="000000" w:themeColor="text1"/>
        </w:rPr>
        <w:fldChar w:fldCharType="begin" w:fldLock="1"/>
      </w:r>
      <w:r w:rsidRPr="007526EC">
        <w:rPr>
          <w:color w:val="000000" w:themeColor="text1"/>
        </w:rPr>
        <w:instrText xml:space="preserve">ADDIN Mendeley Bibliography CSL_BIBLIOGRAPHY </w:instrText>
      </w:r>
      <w:r w:rsidRPr="007526EC">
        <w:rPr>
          <w:color w:val="000000" w:themeColor="text1"/>
        </w:rPr>
        <w:fldChar w:fldCharType="separate"/>
      </w:r>
      <w:r w:rsidRPr="007526EC">
        <w:rPr>
          <w:noProof/>
          <w:color w:val="000000" w:themeColor="text1"/>
        </w:rPr>
        <w:t>[1]</w:t>
      </w:r>
      <w:r w:rsidRPr="007526EC">
        <w:rPr>
          <w:noProof/>
          <w:color w:val="000000" w:themeColor="text1"/>
        </w:rPr>
        <w:tab/>
        <w:t xml:space="preserve">B. Obermeier, R. Daneman, R. M. Ransohoff, </w:t>
      </w:r>
      <w:r w:rsidRPr="007526EC">
        <w:rPr>
          <w:color w:val="000000" w:themeColor="text1"/>
        </w:rPr>
        <w:t xml:space="preserve">Development, maintenance and disruption of the blood-brain barrier, </w:t>
      </w:r>
      <w:r w:rsidRPr="007526EC">
        <w:rPr>
          <w:i/>
          <w:iCs/>
          <w:noProof/>
          <w:color w:val="000000" w:themeColor="text1"/>
        </w:rPr>
        <w:t>Nat. Med.</w:t>
      </w:r>
      <w:r w:rsidRPr="007526EC">
        <w:rPr>
          <w:noProof/>
          <w:color w:val="000000" w:themeColor="text1"/>
        </w:rPr>
        <w:t xml:space="preserve">, </w:t>
      </w:r>
      <w:r w:rsidRPr="007526EC">
        <w:rPr>
          <w:i/>
          <w:iCs/>
          <w:noProof/>
          <w:color w:val="000000" w:themeColor="text1"/>
        </w:rPr>
        <w:t>19</w:t>
      </w:r>
      <w:r w:rsidRPr="007526EC">
        <w:rPr>
          <w:noProof/>
          <w:color w:val="000000" w:themeColor="text1"/>
        </w:rPr>
        <w:t xml:space="preserve">, (2013) 1584, </w:t>
      </w:r>
      <w:r w:rsidRPr="007526EC">
        <w:rPr>
          <w:rStyle w:val="anchor-text"/>
          <w:color w:val="000000" w:themeColor="text1"/>
          <w:u w:val="single"/>
        </w:rPr>
        <w:t>https://doi.org/10.1016/j.mtbio.2025.101652.</w:t>
      </w:r>
    </w:p>
    <w:p w14:paraId="7A74962B"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w:t>
      </w:r>
      <w:r w:rsidRPr="007526EC">
        <w:rPr>
          <w:noProof/>
          <w:color w:val="000000" w:themeColor="text1"/>
        </w:rPr>
        <w:tab/>
        <w:t xml:space="preserve">R. Pandit, L. Chen, J. Götz, </w:t>
      </w:r>
      <w:r w:rsidRPr="007526EC">
        <w:rPr>
          <w:color w:val="000000" w:themeColor="text1"/>
        </w:rPr>
        <w:t xml:space="preserve">The blood-brain barrier: Physiology and strategies for drug delivery, </w:t>
      </w:r>
      <w:r w:rsidRPr="007526EC">
        <w:rPr>
          <w:i/>
          <w:iCs/>
          <w:noProof/>
          <w:color w:val="000000" w:themeColor="text1"/>
        </w:rPr>
        <w:t>Adv. Drug Deliv. Rev.</w:t>
      </w:r>
      <w:r w:rsidRPr="007526EC">
        <w:rPr>
          <w:noProof/>
          <w:color w:val="000000" w:themeColor="text1"/>
        </w:rPr>
        <w:t>, 1, (</w:t>
      </w:r>
      <w:r w:rsidRPr="007526EC">
        <w:rPr>
          <w:bCs/>
          <w:noProof/>
          <w:color w:val="000000" w:themeColor="text1"/>
        </w:rPr>
        <w:t>2020)</w:t>
      </w:r>
      <w:r w:rsidRPr="007526EC">
        <w:rPr>
          <w:noProof/>
          <w:color w:val="000000" w:themeColor="text1"/>
        </w:rPr>
        <w:t xml:space="preserve"> </w:t>
      </w:r>
      <w:r w:rsidRPr="007526EC">
        <w:rPr>
          <w:i/>
          <w:iCs/>
          <w:noProof/>
          <w:color w:val="000000" w:themeColor="text1"/>
        </w:rPr>
        <w:t>165</w:t>
      </w:r>
      <w:r w:rsidRPr="007526EC">
        <w:rPr>
          <w:noProof/>
          <w:color w:val="000000" w:themeColor="text1"/>
        </w:rPr>
        <w:t>–</w:t>
      </w:r>
      <w:r w:rsidRPr="007526EC">
        <w:rPr>
          <w:i/>
          <w:iCs/>
          <w:noProof/>
          <w:color w:val="000000" w:themeColor="text1"/>
        </w:rPr>
        <w:t>166</w:t>
      </w:r>
      <w:r w:rsidRPr="007526EC">
        <w:rPr>
          <w:noProof/>
          <w:color w:val="000000" w:themeColor="text1"/>
        </w:rPr>
        <w:t xml:space="preserve">, 1, </w:t>
      </w:r>
      <w:hyperlink r:id="rId17" w:tgtFrame="_blank" w:tooltip="Persistent link using digital object identifier" w:history="1">
        <w:r w:rsidRPr="007526EC">
          <w:rPr>
            <w:rStyle w:val="anchor-text"/>
            <w:color w:val="000000" w:themeColor="text1"/>
            <w:u w:val="single"/>
          </w:rPr>
          <w:t>https://doi.org/10.1016/j.addr.2019.11.009</w:t>
        </w:r>
      </w:hyperlink>
      <w:r w:rsidRPr="007526EC">
        <w:rPr>
          <w:color w:val="000000" w:themeColor="text1"/>
        </w:rPr>
        <w:t>.</w:t>
      </w:r>
    </w:p>
    <w:p w14:paraId="65B1DB5E" w14:textId="77777777" w:rsidR="00276D28" w:rsidRPr="007526EC" w:rsidRDefault="00276D28" w:rsidP="00276D28">
      <w:pPr>
        <w:widowControl w:val="0"/>
        <w:autoSpaceDE w:val="0"/>
        <w:autoSpaceDN w:val="0"/>
        <w:adjustRightInd w:val="0"/>
        <w:spacing w:line="276" w:lineRule="auto"/>
        <w:ind w:left="640" w:hanging="640"/>
        <w:jc w:val="both"/>
        <w:rPr>
          <w:rStyle w:val="c-bibliographic-informationvalue"/>
          <w:color w:val="000000" w:themeColor="text1"/>
        </w:rPr>
      </w:pPr>
      <w:r w:rsidRPr="007526EC">
        <w:rPr>
          <w:noProof/>
          <w:color w:val="000000" w:themeColor="text1"/>
        </w:rPr>
        <w:t>[3]</w:t>
      </w:r>
      <w:r w:rsidRPr="007526EC">
        <w:rPr>
          <w:noProof/>
          <w:color w:val="000000" w:themeColor="text1"/>
        </w:rPr>
        <w:tab/>
        <w:t xml:space="preserve">K. H. Narsinh, E. Perez, A. F. Haddad, J. S. Young, L. Savastano, J. E. Villanueva-Meyer, E. Winkler, J. de Groot, </w:t>
      </w:r>
      <w:r w:rsidRPr="007526EC">
        <w:rPr>
          <w:color w:val="000000" w:themeColor="text1"/>
        </w:rPr>
        <w:t>Strategies to Improve Drug Delivery Across the Blood–Brain Barrier for Glioblastoma</w:t>
      </w:r>
      <w:r w:rsidRPr="007526EC">
        <w:rPr>
          <w:i/>
          <w:iCs/>
          <w:noProof/>
          <w:color w:val="000000" w:themeColor="text1"/>
        </w:rPr>
        <w:t>, Curr. Neurol. Neurosci. Rep.</w:t>
      </w:r>
      <w:r w:rsidRPr="007526EC">
        <w:rPr>
          <w:noProof/>
          <w:color w:val="000000" w:themeColor="text1"/>
        </w:rPr>
        <w:t xml:space="preserve">, </w:t>
      </w:r>
      <w:r w:rsidRPr="007526EC">
        <w:rPr>
          <w:i/>
          <w:iCs/>
          <w:noProof/>
          <w:color w:val="000000" w:themeColor="text1"/>
        </w:rPr>
        <w:t>24</w:t>
      </w:r>
      <w:r w:rsidRPr="007526EC">
        <w:rPr>
          <w:noProof/>
          <w:color w:val="000000" w:themeColor="text1"/>
        </w:rPr>
        <w:t xml:space="preserve">, (2024) 123, </w:t>
      </w:r>
      <w:r w:rsidRPr="007526EC">
        <w:rPr>
          <w:rStyle w:val="c-bibliographic-informationvalue"/>
          <w:color w:val="000000" w:themeColor="text1"/>
        </w:rPr>
        <w:t>https://doi.org/10.1007/s11910-024-01338-x.</w:t>
      </w:r>
    </w:p>
    <w:p w14:paraId="733986C7" w14:textId="77777777" w:rsidR="00276D28" w:rsidRPr="007526EC" w:rsidRDefault="00276D28" w:rsidP="00276D28">
      <w:pPr>
        <w:widowControl w:val="0"/>
        <w:autoSpaceDE w:val="0"/>
        <w:autoSpaceDN w:val="0"/>
        <w:adjustRightInd w:val="0"/>
        <w:spacing w:line="276" w:lineRule="auto"/>
        <w:ind w:left="640" w:hanging="640"/>
        <w:jc w:val="both"/>
        <w:rPr>
          <w:color w:val="000000" w:themeColor="text1"/>
          <w:u w:val="single"/>
        </w:rPr>
      </w:pPr>
      <w:r w:rsidRPr="007526EC">
        <w:rPr>
          <w:noProof/>
          <w:color w:val="000000" w:themeColor="text1"/>
        </w:rPr>
        <w:t>[4]</w:t>
      </w:r>
      <w:r w:rsidRPr="007526EC">
        <w:rPr>
          <w:noProof/>
          <w:color w:val="000000" w:themeColor="text1"/>
        </w:rPr>
        <w:tab/>
        <w:t xml:space="preserve">H.-G. Wirsching, E. Galanis, M. Weller, </w:t>
      </w:r>
      <w:r w:rsidRPr="007526EC">
        <w:rPr>
          <w:color w:val="000000" w:themeColor="text1"/>
        </w:rPr>
        <w:t xml:space="preserve">Glioblastoma, </w:t>
      </w:r>
      <w:r w:rsidRPr="007526EC">
        <w:rPr>
          <w:i/>
          <w:iCs/>
          <w:noProof/>
          <w:color w:val="000000" w:themeColor="text1"/>
        </w:rPr>
        <w:t>Handb. Clin. Neurol.</w:t>
      </w:r>
      <w:r w:rsidRPr="007526EC">
        <w:rPr>
          <w:noProof/>
          <w:color w:val="000000" w:themeColor="text1"/>
        </w:rPr>
        <w:t xml:space="preserve">, </w:t>
      </w:r>
      <w:r w:rsidRPr="007526EC">
        <w:rPr>
          <w:i/>
          <w:iCs/>
          <w:noProof/>
          <w:color w:val="000000" w:themeColor="text1"/>
        </w:rPr>
        <w:t>134</w:t>
      </w:r>
      <w:r w:rsidRPr="007526EC">
        <w:rPr>
          <w:noProof/>
          <w:color w:val="000000" w:themeColor="text1"/>
        </w:rPr>
        <w:t xml:space="preserve">, (2016) 381, </w:t>
      </w:r>
      <w:hyperlink r:id="rId18" w:tgtFrame="_blank" w:history="1">
        <w:r w:rsidRPr="007526EC">
          <w:rPr>
            <w:rStyle w:val="Hyperlink"/>
            <w:color w:val="000000" w:themeColor="text1"/>
          </w:rPr>
          <w:t xml:space="preserve">10.1016/B978-0-12-802997-8.00023-2. </w:t>
        </w:r>
      </w:hyperlink>
    </w:p>
    <w:p w14:paraId="00F47423"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w:t>
      </w:r>
      <w:r w:rsidRPr="007526EC">
        <w:rPr>
          <w:noProof/>
          <w:color w:val="000000" w:themeColor="text1"/>
        </w:rPr>
        <w:tab/>
        <w:t xml:space="preserve">T. Tykocki, M. Eltayeb, </w:t>
      </w:r>
      <w:r w:rsidRPr="007526EC">
        <w:rPr>
          <w:color w:val="000000" w:themeColor="text1"/>
        </w:rPr>
        <w:t>Ten-year survival in glioblastoma. A systematic review,</w:t>
      </w:r>
      <w:r w:rsidRPr="007526EC">
        <w:rPr>
          <w:noProof/>
          <w:color w:val="000000" w:themeColor="text1"/>
        </w:rPr>
        <w:t xml:space="preserve"> </w:t>
      </w:r>
      <w:r w:rsidRPr="007526EC">
        <w:rPr>
          <w:i/>
          <w:iCs/>
          <w:noProof/>
          <w:color w:val="000000" w:themeColor="text1"/>
        </w:rPr>
        <w:t>J. Clin. Neurosci.  Off. J. Neurosurg. Soc.  Australas.</w:t>
      </w:r>
      <w:r w:rsidRPr="007526EC">
        <w:rPr>
          <w:noProof/>
          <w:color w:val="000000" w:themeColor="text1"/>
        </w:rPr>
        <w:t xml:space="preserve">, </w:t>
      </w:r>
      <w:r w:rsidRPr="007526EC">
        <w:rPr>
          <w:i/>
          <w:iCs/>
          <w:noProof/>
          <w:color w:val="000000" w:themeColor="text1"/>
        </w:rPr>
        <w:t>54</w:t>
      </w:r>
      <w:r w:rsidRPr="007526EC">
        <w:rPr>
          <w:noProof/>
          <w:color w:val="000000" w:themeColor="text1"/>
        </w:rPr>
        <w:t xml:space="preserve">, (2018) 7, </w:t>
      </w:r>
      <w:hyperlink r:id="rId19" w:tgtFrame="_blank" w:history="1">
        <w:r w:rsidRPr="007526EC">
          <w:rPr>
            <w:rStyle w:val="Hyperlink"/>
            <w:color w:val="000000" w:themeColor="text1"/>
          </w:rPr>
          <w:t xml:space="preserve">10.1016/j.jocn.2018.05.002. </w:t>
        </w:r>
      </w:hyperlink>
    </w:p>
    <w:p w14:paraId="3D180F4C"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[6]</w:t>
      </w:r>
      <w:r w:rsidRPr="007526EC">
        <w:rPr>
          <w:noProof/>
          <w:color w:val="000000" w:themeColor="text1"/>
        </w:rPr>
        <w:tab/>
        <w:t xml:space="preserve">R. Medikonda, G. Dunn, M. Rahman, P. Fecci, M. Lim, </w:t>
      </w:r>
      <w:r w:rsidRPr="007526EC">
        <w:rPr>
          <w:color w:val="000000" w:themeColor="text1"/>
        </w:rPr>
        <w:t xml:space="preserve">A review of glioblastoma immunotherapy, </w:t>
      </w:r>
      <w:r w:rsidRPr="007526EC">
        <w:rPr>
          <w:i/>
          <w:iCs/>
          <w:noProof/>
          <w:color w:val="000000" w:themeColor="text1"/>
        </w:rPr>
        <w:t>J. Neurooncol.</w:t>
      </w:r>
      <w:r w:rsidRPr="007526EC">
        <w:rPr>
          <w:noProof/>
          <w:color w:val="000000" w:themeColor="text1"/>
        </w:rPr>
        <w:t xml:space="preserve">, </w:t>
      </w:r>
      <w:r w:rsidRPr="007526EC">
        <w:rPr>
          <w:i/>
          <w:iCs/>
          <w:noProof/>
          <w:color w:val="000000" w:themeColor="text1"/>
        </w:rPr>
        <w:t>151</w:t>
      </w:r>
      <w:r w:rsidRPr="007526EC">
        <w:rPr>
          <w:noProof/>
          <w:color w:val="000000" w:themeColor="text1"/>
        </w:rPr>
        <w:t xml:space="preserve">, (2021) 41, </w:t>
      </w:r>
      <w:hyperlink r:id="rId20" w:tgtFrame="_blank" w:history="1">
        <w:r w:rsidRPr="007526EC">
          <w:rPr>
            <w:rStyle w:val="Hyperlink"/>
            <w:color w:val="000000" w:themeColor="text1"/>
          </w:rPr>
          <w:t xml:space="preserve">10.1007/s11060-020-03448-1. </w:t>
        </w:r>
      </w:hyperlink>
    </w:p>
    <w:p w14:paraId="5F0FB35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[7]</w:t>
      </w:r>
      <w:r w:rsidRPr="007526EC">
        <w:rPr>
          <w:noProof/>
          <w:color w:val="000000" w:themeColor="text1"/>
        </w:rPr>
        <w:tab/>
        <w:t xml:space="preserve">C. E. Brown, A. Rodriguez, et al., </w:t>
      </w:r>
      <w:r w:rsidRPr="007526EC">
        <w:rPr>
          <w:color w:val="000000" w:themeColor="text1"/>
        </w:rPr>
        <w:t>Off-the-shelf, steroid-resistant, IL13Rα2-specific CAR T cells for treatment of glioblastoma,</w:t>
      </w:r>
      <w:r w:rsidRPr="007526EC">
        <w:rPr>
          <w:noProof/>
          <w:color w:val="000000" w:themeColor="text1"/>
        </w:rPr>
        <w:t xml:space="preserve"> </w:t>
      </w:r>
      <w:r w:rsidRPr="007526EC">
        <w:rPr>
          <w:i/>
          <w:iCs/>
          <w:noProof/>
          <w:color w:val="000000" w:themeColor="text1"/>
        </w:rPr>
        <w:t>Neuro. Oncol.</w:t>
      </w:r>
      <w:r w:rsidRPr="007526EC">
        <w:rPr>
          <w:noProof/>
          <w:color w:val="000000" w:themeColor="text1"/>
        </w:rPr>
        <w:t xml:space="preserve">, </w:t>
      </w:r>
      <w:r w:rsidRPr="007526EC">
        <w:rPr>
          <w:i/>
          <w:iCs/>
          <w:noProof/>
          <w:color w:val="000000" w:themeColor="text1"/>
        </w:rPr>
        <w:t>24</w:t>
      </w:r>
      <w:r w:rsidRPr="007526EC">
        <w:rPr>
          <w:noProof/>
          <w:color w:val="000000" w:themeColor="text1"/>
        </w:rPr>
        <w:t xml:space="preserve">, (2022) 1318, </w:t>
      </w:r>
      <w:hyperlink r:id="rId21" w:tgtFrame="_blank" w:history="1">
        <w:r w:rsidRPr="007526EC">
          <w:rPr>
            <w:rStyle w:val="Hyperlink"/>
            <w:color w:val="000000" w:themeColor="text1"/>
          </w:rPr>
          <w:t xml:space="preserve">10.1093/neuonc/noac024. </w:t>
        </w:r>
      </w:hyperlink>
    </w:p>
    <w:p w14:paraId="786123DE"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[8]</w:t>
      </w:r>
      <w:r w:rsidRPr="007526EC">
        <w:rPr>
          <w:noProof/>
          <w:color w:val="000000" w:themeColor="text1"/>
        </w:rPr>
        <w:tab/>
        <w:t xml:space="preserve">D. M. O’Rourke, M. P. Nasrallah, et al., </w:t>
      </w:r>
      <w:r w:rsidRPr="007526EC">
        <w:rPr>
          <w:color w:val="000000" w:themeColor="text1"/>
        </w:rPr>
        <w:t xml:space="preserve">A single dose of peripherally infused EGFRvIII-directed CAR T cells mediates antigen loss and induces adaptive resistance in patients with recurrent glioblastoma, </w:t>
      </w:r>
      <w:r w:rsidRPr="007526EC">
        <w:rPr>
          <w:i/>
          <w:iCs/>
          <w:noProof/>
          <w:color w:val="000000" w:themeColor="text1"/>
        </w:rPr>
        <w:t>Sci. Transl. Med.</w:t>
      </w:r>
      <w:r w:rsidRPr="007526EC">
        <w:rPr>
          <w:noProof/>
          <w:color w:val="000000" w:themeColor="text1"/>
        </w:rPr>
        <w:t>,</w:t>
      </w:r>
      <w:r w:rsidRPr="007526EC">
        <w:rPr>
          <w:color w:val="000000" w:themeColor="text1"/>
        </w:rPr>
        <w:t xml:space="preserve">19, (2017) 9(399):eaaa0984, </w:t>
      </w:r>
      <w:hyperlink r:id="rId22" w:tgtFrame="_blank" w:history="1">
        <w:r w:rsidRPr="007526EC">
          <w:rPr>
            <w:rStyle w:val="Hyperlink"/>
            <w:color w:val="000000" w:themeColor="text1"/>
          </w:rPr>
          <w:t xml:space="preserve">10.1126/scitranslmed.aaa0984 </w:t>
        </w:r>
      </w:hyperlink>
      <w:r w:rsidRPr="007526EC">
        <w:rPr>
          <w:noProof/>
          <w:color w:val="000000" w:themeColor="text1"/>
        </w:rPr>
        <w:t>.</w:t>
      </w:r>
    </w:p>
    <w:p w14:paraId="41A9EC1E"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[9]</w:t>
      </w:r>
      <w:r w:rsidRPr="007526EC">
        <w:rPr>
          <w:noProof/>
          <w:color w:val="000000" w:themeColor="text1"/>
        </w:rPr>
        <w:tab/>
        <w:t xml:space="preserve">B. D. Choi, E. R. Gerstner, M. J. Frigault, M. B. Leick, C. W. Mount, L. Balaj, S. Nikiforow, B. S. Carter, W. T. Curry, K. Gallagher, M. V Maus, </w:t>
      </w:r>
      <w:r w:rsidRPr="007526EC">
        <w:rPr>
          <w:color w:val="000000" w:themeColor="text1"/>
        </w:rPr>
        <w:t>Intraventricular CARv3-TEAM-E T Cells in Recurrent Glioblastoma,</w:t>
      </w:r>
      <w:r w:rsidRPr="007526EC">
        <w:rPr>
          <w:noProof/>
          <w:color w:val="000000" w:themeColor="text1"/>
        </w:rPr>
        <w:t xml:space="preserve"> </w:t>
      </w:r>
      <w:r w:rsidRPr="007526EC">
        <w:rPr>
          <w:i/>
          <w:iCs/>
          <w:noProof/>
          <w:color w:val="000000" w:themeColor="text1"/>
        </w:rPr>
        <w:t>N. Engl. J. Med.</w:t>
      </w:r>
      <w:r w:rsidRPr="007526EC">
        <w:rPr>
          <w:noProof/>
          <w:color w:val="000000" w:themeColor="text1"/>
        </w:rPr>
        <w:t xml:space="preserve">, </w:t>
      </w:r>
      <w:r w:rsidRPr="007526EC">
        <w:rPr>
          <w:i/>
          <w:iCs/>
          <w:noProof/>
          <w:color w:val="000000" w:themeColor="text1"/>
        </w:rPr>
        <w:t>390</w:t>
      </w:r>
      <w:r w:rsidRPr="007526EC">
        <w:rPr>
          <w:noProof/>
          <w:color w:val="000000" w:themeColor="text1"/>
        </w:rPr>
        <w:t xml:space="preserve">, (2024) 1290, </w:t>
      </w:r>
      <w:hyperlink r:id="rId23" w:tgtFrame="_blank" w:history="1">
        <w:r w:rsidRPr="007526EC">
          <w:rPr>
            <w:rStyle w:val="Hyperlink"/>
            <w:color w:val="000000" w:themeColor="text1"/>
          </w:rPr>
          <w:t xml:space="preserve">10.1056/NEJMoa2314390. </w:t>
        </w:r>
      </w:hyperlink>
    </w:p>
    <w:p w14:paraId="2ED4071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lastRenderedPageBreak/>
        <w:t>[10]</w:t>
      </w:r>
      <w:r w:rsidRPr="007526EC">
        <w:rPr>
          <w:noProof/>
          <w:color w:val="000000" w:themeColor="text1"/>
        </w:rPr>
        <w:tab/>
        <w:t xml:space="preserve">S. J. Russell, K.-W. Peng, J. C. Bell, </w:t>
      </w:r>
      <w:r w:rsidRPr="007526EC">
        <w:rPr>
          <w:color w:val="000000" w:themeColor="text1"/>
        </w:rPr>
        <w:t>Oncolytic virotherapy,</w:t>
      </w:r>
      <w:r w:rsidRPr="007526EC">
        <w:rPr>
          <w:noProof/>
          <w:color w:val="000000" w:themeColor="text1"/>
        </w:rPr>
        <w:t xml:space="preserve"> </w:t>
      </w:r>
      <w:r w:rsidRPr="007526EC">
        <w:rPr>
          <w:i/>
          <w:iCs/>
          <w:noProof/>
          <w:color w:val="000000" w:themeColor="text1"/>
        </w:rPr>
        <w:t>Nat. Biotechnol.</w:t>
      </w:r>
      <w:r w:rsidRPr="007526EC">
        <w:rPr>
          <w:noProof/>
          <w:color w:val="000000" w:themeColor="text1"/>
        </w:rPr>
        <w:t xml:space="preserve">, </w:t>
      </w:r>
      <w:r w:rsidRPr="007526EC">
        <w:rPr>
          <w:i/>
          <w:iCs/>
          <w:noProof/>
          <w:color w:val="000000" w:themeColor="text1"/>
        </w:rPr>
        <w:t>30</w:t>
      </w:r>
      <w:r w:rsidRPr="007526EC">
        <w:rPr>
          <w:noProof/>
          <w:color w:val="000000" w:themeColor="text1"/>
        </w:rPr>
        <w:t xml:space="preserve">, (2012) 658, </w:t>
      </w:r>
      <w:hyperlink r:id="rId24" w:tgtFrame="_blank" w:history="1">
        <w:r w:rsidRPr="007526EC">
          <w:rPr>
            <w:rStyle w:val="Hyperlink"/>
            <w:color w:val="000000" w:themeColor="text1"/>
          </w:rPr>
          <w:t>10.1038/nbt.2287</w:t>
        </w:r>
      </w:hyperlink>
      <w:r w:rsidRPr="007526EC">
        <w:rPr>
          <w:color w:val="000000" w:themeColor="text1"/>
        </w:rPr>
        <w:t xml:space="preserve">. </w:t>
      </w:r>
    </w:p>
    <w:p w14:paraId="17213FD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[11]</w:t>
      </w:r>
      <w:r w:rsidRPr="007526EC">
        <w:rPr>
          <w:noProof/>
          <w:color w:val="000000" w:themeColor="text1"/>
        </w:rPr>
        <w:tab/>
        <w:t xml:space="preserve">A. Reale, A. Vitiello, V. Conciatori, C. Parolin, A. Calistri, G. Palù, </w:t>
      </w:r>
      <w:r w:rsidRPr="007526EC">
        <w:rPr>
          <w:color w:val="000000" w:themeColor="text1"/>
        </w:rPr>
        <w:t xml:space="preserve">Perspectives on immunotherapy via oncolytic viruses, </w:t>
      </w:r>
      <w:r w:rsidRPr="007526EC">
        <w:rPr>
          <w:i/>
          <w:iCs/>
          <w:noProof/>
          <w:color w:val="000000" w:themeColor="text1"/>
        </w:rPr>
        <w:t>Infect. Agent. Cancer</w:t>
      </w:r>
      <w:r w:rsidRPr="007526EC">
        <w:rPr>
          <w:noProof/>
          <w:color w:val="000000" w:themeColor="text1"/>
        </w:rPr>
        <w:t xml:space="preserve">, </w:t>
      </w:r>
      <w:r w:rsidRPr="007526EC">
        <w:rPr>
          <w:i/>
          <w:iCs/>
          <w:noProof/>
          <w:color w:val="000000" w:themeColor="text1"/>
        </w:rPr>
        <w:t>14</w:t>
      </w:r>
      <w:r w:rsidRPr="007526EC">
        <w:rPr>
          <w:noProof/>
          <w:color w:val="000000" w:themeColor="text1"/>
        </w:rPr>
        <w:t xml:space="preserve">, (2019) 5, </w:t>
      </w:r>
      <w:r w:rsidRPr="007526EC">
        <w:rPr>
          <w:rStyle w:val="c-bibliographic-informationvalue"/>
          <w:color w:val="000000" w:themeColor="text1"/>
        </w:rPr>
        <w:t xml:space="preserve">https://doi.org/10.1186/s13027-018-0218-1. </w:t>
      </w:r>
    </w:p>
    <w:p w14:paraId="719C162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[12]</w:t>
      </w:r>
      <w:r w:rsidRPr="007526EC">
        <w:rPr>
          <w:noProof/>
          <w:color w:val="000000" w:themeColor="text1"/>
        </w:rPr>
        <w:tab/>
        <w:t xml:space="preserve">R. M. Conry, B. Westbrook, S. McKee, T. G. Norwood, </w:t>
      </w:r>
      <w:r w:rsidRPr="007526EC">
        <w:rPr>
          <w:color w:val="000000" w:themeColor="text1"/>
        </w:rPr>
        <w:t xml:space="preserve">Talimogene laherparepvec: First in class oncolytic virotherapy, </w:t>
      </w:r>
      <w:r w:rsidRPr="007526EC">
        <w:rPr>
          <w:i/>
          <w:iCs/>
          <w:noProof/>
          <w:color w:val="000000" w:themeColor="text1"/>
        </w:rPr>
        <w:t>Hum. Vaccin. Immunother.</w:t>
      </w:r>
      <w:r w:rsidRPr="007526EC">
        <w:rPr>
          <w:noProof/>
          <w:color w:val="000000" w:themeColor="text1"/>
        </w:rPr>
        <w:t xml:space="preserve">, </w:t>
      </w:r>
      <w:r w:rsidRPr="007526EC">
        <w:rPr>
          <w:i/>
          <w:iCs/>
          <w:noProof/>
          <w:color w:val="000000" w:themeColor="text1"/>
        </w:rPr>
        <w:t>14</w:t>
      </w:r>
      <w:r w:rsidRPr="007526EC">
        <w:rPr>
          <w:noProof/>
          <w:color w:val="000000" w:themeColor="text1"/>
        </w:rPr>
        <w:t xml:space="preserve">, (2018) 839, </w:t>
      </w:r>
      <w:hyperlink r:id="rId25" w:tgtFrame="_blank" w:history="1">
        <w:r w:rsidRPr="007526EC">
          <w:rPr>
            <w:rStyle w:val="Hyperlink"/>
            <w:color w:val="000000" w:themeColor="text1"/>
          </w:rPr>
          <w:t xml:space="preserve">10.1080/21645515.2017.1412896. </w:t>
        </w:r>
      </w:hyperlink>
    </w:p>
    <w:p w14:paraId="0C0B4664"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[13]</w:t>
      </w:r>
      <w:r w:rsidRPr="007526EC">
        <w:rPr>
          <w:noProof/>
          <w:color w:val="000000" w:themeColor="text1"/>
        </w:rPr>
        <w:tab/>
        <w:t xml:space="preserve">T. Todo, H. Ito, Y. Ino, H. Ohtsu, Y. Ota, J. Shibahara, M. Tanaka, </w:t>
      </w:r>
      <w:r w:rsidRPr="007526EC">
        <w:rPr>
          <w:color w:val="000000" w:themeColor="text1"/>
        </w:rPr>
        <w:t xml:space="preserve">Intratumoral oncolytic herpes virus G47∆ for residual or recurrent glioblastoma: a phase 2 trial, </w:t>
      </w:r>
      <w:r w:rsidRPr="007526EC">
        <w:rPr>
          <w:i/>
          <w:iCs/>
          <w:noProof/>
          <w:color w:val="000000" w:themeColor="text1"/>
        </w:rPr>
        <w:t>Nat. Med.</w:t>
      </w:r>
      <w:r w:rsidRPr="007526EC">
        <w:rPr>
          <w:noProof/>
          <w:color w:val="000000" w:themeColor="text1"/>
        </w:rPr>
        <w:t xml:space="preserve">, </w:t>
      </w:r>
      <w:r w:rsidRPr="007526EC">
        <w:rPr>
          <w:i/>
          <w:iCs/>
          <w:noProof/>
          <w:color w:val="000000" w:themeColor="text1"/>
        </w:rPr>
        <w:t>28</w:t>
      </w:r>
      <w:r w:rsidRPr="007526EC">
        <w:rPr>
          <w:noProof/>
          <w:color w:val="000000" w:themeColor="text1"/>
        </w:rPr>
        <w:t xml:space="preserve">, (2022) 1630, </w:t>
      </w:r>
      <w:hyperlink r:id="rId26" w:tgtFrame="_blank" w:history="1">
        <w:r w:rsidRPr="007526EC">
          <w:rPr>
            <w:rStyle w:val="Hyperlink"/>
            <w:color w:val="000000" w:themeColor="text1"/>
          </w:rPr>
          <w:t xml:space="preserve">10.1038/s41591-022-01897-x. </w:t>
        </w:r>
      </w:hyperlink>
    </w:p>
    <w:p w14:paraId="27982AFE"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[14]</w:t>
      </w:r>
      <w:r w:rsidRPr="007526EC">
        <w:rPr>
          <w:noProof/>
          <w:color w:val="000000" w:themeColor="text1"/>
        </w:rPr>
        <w:tab/>
        <w:t xml:space="preserve">R. A. Ageeb, M. Harfouche, H. Chemaitelly, L. J. Abu-Raddad, </w:t>
      </w:r>
      <w:r w:rsidRPr="007526EC">
        <w:rPr>
          <w:color w:val="000000" w:themeColor="text1"/>
        </w:rPr>
        <w:t>Epidemiology of herpes simplex virus type 1 in the United States: Systematic review, meta-analyses, and meta-regressions,</w:t>
      </w:r>
      <w:r w:rsidRPr="007526EC">
        <w:rPr>
          <w:noProof/>
          <w:color w:val="000000" w:themeColor="text1"/>
        </w:rPr>
        <w:t xml:space="preserve"> </w:t>
      </w:r>
      <w:r w:rsidRPr="007526EC">
        <w:rPr>
          <w:i/>
          <w:iCs/>
          <w:noProof/>
          <w:color w:val="000000" w:themeColor="text1"/>
        </w:rPr>
        <w:t>iScience</w:t>
      </w:r>
      <w:r w:rsidRPr="007526EC">
        <w:rPr>
          <w:noProof/>
          <w:color w:val="000000" w:themeColor="text1"/>
        </w:rPr>
        <w:t xml:space="preserve">, </w:t>
      </w:r>
      <w:r w:rsidRPr="007526EC">
        <w:rPr>
          <w:i/>
          <w:iCs/>
          <w:noProof/>
          <w:color w:val="000000" w:themeColor="text1"/>
        </w:rPr>
        <w:t>27</w:t>
      </w:r>
      <w:r w:rsidRPr="007526EC">
        <w:rPr>
          <w:noProof/>
          <w:color w:val="000000" w:themeColor="text1"/>
        </w:rPr>
        <w:t xml:space="preserve">, (2024) 110652, </w:t>
      </w:r>
      <w:hyperlink r:id="rId27" w:tgtFrame="_blank" w:history="1">
        <w:r w:rsidRPr="007526EC">
          <w:rPr>
            <w:rStyle w:val="Hyperlink"/>
            <w:color w:val="000000" w:themeColor="text1"/>
          </w:rPr>
          <w:t xml:space="preserve">10.1016/j.isci.2024.110652. </w:t>
        </w:r>
      </w:hyperlink>
    </w:p>
    <w:p w14:paraId="13B622C0"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[15]</w:t>
      </w:r>
      <w:r w:rsidRPr="007526EC">
        <w:rPr>
          <w:noProof/>
          <w:color w:val="000000" w:themeColor="text1"/>
        </w:rPr>
        <w:tab/>
        <w:t xml:space="preserve">A. Hadryś, A. Sochanik, G. McFadden, J. Jazowiecka-Rakus, </w:t>
      </w:r>
      <w:r w:rsidRPr="007526EC">
        <w:rPr>
          <w:color w:val="000000" w:themeColor="text1"/>
        </w:rPr>
        <w:t xml:space="preserve">Mesenchymal stem cells as carriers for systemic delivery of oncolytic viruses, </w:t>
      </w:r>
      <w:r w:rsidRPr="007526EC">
        <w:rPr>
          <w:i/>
          <w:iCs/>
          <w:noProof/>
          <w:color w:val="000000" w:themeColor="text1"/>
        </w:rPr>
        <w:t>Eur. J. Pharmacol.</w:t>
      </w:r>
      <w:r w:rsidRPr="007526EC">
        <w:rPr>
          <w:noProof/>
          <w:color w:val="000000" w:themeColor="text1"/>
        </w:rPr>
        <w:t xml:space="preserve">, </w:t>
      </w:r>
      <w:r w:rsidRPr="007526EC">
        <w:rPr>
          <w:i/>
          <w:iCs/>
          <w:noProof/>
          <w:color w:val="000000" w:themeColor="text1"/>
        </w:rPr>
        <w:t>874</w:t>
      </w:r>
      <w:r w:rsidRPr="007526EC">
        <w:rPr>
          <w:noProof/>
          <w:color w:val="000000" w:themeColor="text1"/>
        </w:rPr>
        <w:t xml:space="preserve">, (2020) 172991, </w:t>
      </w:r>
      <w:hyperlink r:id="rId28" w:tgtFrame="_blank" w:history="1">
        <w:r w:rsidRPr="007526EC">
          <w:rPr>
            <w:rStyle w:val="Hyperlink"/>
            <w:color w:val="000000" w:themeColor="text1"/>
          </w:rPr>
          <w:t xml:space="preserve">10.1016/j.ejphar.2020.172991. </w:t>
        </w:r>
      </w:hyperlink>
    </w:p>
    <w:p w14:paraId="4D5FD65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[16]</w:t>
      </w:r>
      <w:r w:rsidRPr="007526EC">
        <w:rPr>
          <w:noProof/>
          <w:color w:val="000000" w:themeColor="text1"/>
        </w:rPr>
        <w:tab/>
        <w:t xml:space="preserve">A. Reale, L. Krutzke, M. Cadamuro, A. Vitiello, J. von Einem, S. Kochanek, G. Palù, C. Parolin, A. Calistri, </w:t>
      </w:r>
      <w:r w:rsidRPr="007526EC">
        <w:rPr>
          <w:color w:val="000000" w:themeColor="text1"/>
        </w:rPr>
        <w:t xml:space="preserve">Human Monocytes Are Suitable Carriers for the Delivery of Oncolytic Herpes Simplex Virus Type 1 In Vitro and in a Chicken Embryo Chorioallantoic Membrane Model of Cancer, </w:t>
      </w:r>
      <w:r w:rsidRPr="007526EC">
        <w:rPr>
          <w:i/>
          <w:iCs/>
          <w:noProof/>
          <w:color w:val="000000" w:themeColor="text1"/>
        </w:rPr>
        <w:t>Int. J. Mol. Sci.</w:t>
      </w:r>
      <w:r w:rsidRPr="007526EC">
        <w:rPr>
          <w:noProof/>
          <w:color w:val="000000" w:themeColor="text1"/>
        </w:rPr>
        <w:t xml:space="preserve">, </w:t>
      </w:r>
      <w:r w:rsidRPr="007526EC">
        <w:rPr>
          <w:i/>
          <w:iCs/>
          <w:noProof/>
          <w:color w:val="000000" w:themeColor="text1"/>
        </w:rPr>
        <w:t>24</w:t>
      </w:r>
      <w:r w:rsidRPr="007526EC">
        <w:rPr>
          <w:noProof/>
          <w:color w:val="000000" w:themeColor="text1"/>
        </w:rPr>
        <w:t xml:space="preserve">, (2023) </w:t>
      </w:r>
      <w:r w:rsidRPr="007526EC">
        <w:rPr>
          <w:color w:val="000000" w:themeColor="text1"/>
        </w:rPr>
        <w:t xml:space="preserve">9255, </w:t>
      </w:r>
      <w:hyperlink r:id="rId29" w:history="1">
        <w:r w:rsidRPr="007526EC">
          <w:rPr>
            <w:rStyle w:val="Hyperlink"/>
            <w:color w:val="000000" w:themeColor="text1"/>
          </w:rPr>
          <w:t>https://doi.org/10.3390/ijms24119255</w:t>
        </w:r>
      </w:hyperlink>
      <w:r w:rsidRPr="007526EC">
        <w:rPr>
          <w:color w:val="000000" w:themeColor="text1"/>
        </w:rPr>
        <w:t xml:space="preserve">. </w:t>
      </w:r>
    </w:p>
    <w:p w14:paraId="70AFE44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[17]</w:t>
      </w:r>
      <w:r w:rsidRPr="007526EC">
        <w:rPr>
          <w:noProof/>
          <w:color w:val="000000" w:themeColor="text1"/>
        </w:rPr>
        <w:tab/>
        <w:t xml:space="preserve">M. A. Deli, G. Porkoláb, A. Kincses, M. Mészáros, A. Szecskó, A. E. Kocsis, J. P. Vigh, S. Valkai, S. Veszelka, F. R. Walter, A. Dér, </w:t>
      </w:r>
      <w:r w:rsidRPr="007526EC">
        <w:rPr>
          <w:color w:val="000000" w:themeColor="text1"/>
        </w:rPr>
        <w:t xml:space="preserve">Lab-on-a-chip models of the blood–brain barrier: evolution, problems, perspectives, </w:t>
      </w:r>
      <w:r w:rsidRPr="007526EC">
        <w:rPr>
          <w:i/>
          <w:iCs/>
          <w:noProof/>
          <w:color w:val="000000" w:themeColor="text1"/>
        </w:rPr>
        <w:t>Lab Chip,</w:t>
      </w:r>
      <w:r w:rsidRPr="007526EC">
        <w:rPr>
          <w:noProof/>
          <w:color w:val="000000" w:themeColor="text1"/>
        </w:rPr>
        <w:t xml:space="preserve"> </w:t>
      </w:r>
      <w:r w:rsidRPr="007526EC">
        <w:rPr>
          <w:i/>
          <w:iCs/>
          <w:noProof/>
          <w:color w:val="000000" w:themeColor="text1"/>
        </w:rPr>
        <w:t>24</w:t>
      </w:r>
      <w:r w:rsidRPr="007526EC">
        <w:rPr>
          <w:noProof/>
          <w:color w:val="000000" w:themeColor="text1"/>
        </w:rPr>
        <w:t xml:space="preserve">, (2024) 1030, </w:t>
      </w:r>
      <w:r w:rsidRPr="007526EC">
        <w:rPr>
          <w:color w:val="000000" w:themeColor="text1"/>
        </w:rPr>
        <w:t xml:space="preserve">https://doi.org/10.1039/D3LC00996C. </w:t>
      </w:r>
    </w:p>
    <w:p w14:paraId="26D696D3"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[18]</w:t>
      </w:r>
      <w:r w:rsidRPr="007526EC">
        <w:rPr>
          <w:noProof/>
          <w:color w:val="000000" w:themeColor="text1"/>
        </w:rPr>
        <w:tab/>
        <w:t>S. Reshma, K. B. Megha, S. Amir, S. Rukhiya, P. V Mohanan, B</w:t>
      </w:r>
      <w:r w:rsidRPr="007526EC">
        <w:rPr>
          <w:rStyle w:val="title-text"/>
          <w:color w:val="000000" w:themeColor="text1"/>
        </w:rPr>
        <w:t xml:space="preserve">lood brain barrier-on-a-chip to model neurological diseases, </w:t>
      </w:r>
      <w:r w:rsidRPr="007526EC">
        <w:rPr>
          <w:i/>
          <w:iCs/>
          <w:noProof/>
          <w:color w:val="000000" w:themeColor="text1"/>
        </w:rPr>
        <w:t>J. Drug Deliv. Sci. Technol.</w:t>
      </w:r>
      <w:r w:rsidRPr="007526EC">
        <w:rPr>
          <w:noProof/>
          <w:color w:val="000000" w:themeColor="text1"/>
        </w:rPr>
        <w:t xml:space="preserve">, </w:t>
      </w:r>
      <w:r w:rsidRPr="007526EC">
        <w:rPr>
          <w:i/>
          <w:iCs/>
          <w:noProof/>
          <w:color w:val="000000" w:themeColor="text1"/>
        </w:rPr>
        <w:t>80</w:t>
      </w:r>
      <w:r w:rsidRPr="007526EC">
        <w:rPr>
          <w:noProof/>
          <w:color w:val="000000" w:themeColor="text1"/>
        </w:rPr>
        <w:t xml:space="preserve">, (2023) 104174, https://doi.org/10.1016/j.jddst.2023.104174. </w:t>
      </w:r>
    </w:p>
    <w:p w14:paraId="1164D454"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[19]</w:t>
      </w:r>
      <w:r w:rsidRPr="007526EC">
        <w:rPr>
          <w:noProof/>
          <w:color w:val="000000" w:themeColor="text1"/>
        </w:rPr>
        <w:tab/>
        <w:t xml:space="preserve">L. Cucullo, M. Hossain, V. Puvenna, N. Marchi, D. Janigro, </w:t>
      </w:r>
      <w:r w:rsidRPr="007526EC">
        <w:rPr>
          <w:color w:val="000000" w:themeColor="text1"/>
        </w:rPr>
        <w:t xml:space="preserve">The role of shear stress in Blood-Brain Barrier endothelial physiology, </w:t>
      </w:r>
      <w:r w:rsidRPr="007526EC">
        <w:rPr>
          <w:i/>
          <w:iCs/>
          <w:noProof/>
          <w:color w:val="000000" w:themeColor="text1"/>
        </w:rPr>
        <w:t>BMC Neurosci.</w:t>
      </w:r>
      <w:r w:rsidRPr="007526EC">
        <w:rPr>
          <w:noProof/>
          <w:color w:val="000000" w:themeColor="text1"/>
        </w:rPr>
        <w:t xml:space="preserve">, </w:t>
      </w:r>
      <w:r w:rsidRPr="007526EC">
        <w:rPr>
          <w:i/>
          <w:iCs/>
          <w:noProof/>
          <w:color w:val="000000" w:themeColor="text1"/>
        </w:rPr>
        <w:t>12</w:t>
      </w:r>
      <w:r w:rsidRPr="007526EC">
        <w:rPr>
          <w:noProof/>
          <w:color w:val="000000" w:themeColor="text1"/>
        </w:rPr>
        <w:t xml:space="preserve">, (2011) 40, </w:t>
      </w:r>
      <w:hyperlink r:id="rId30" w:tgtFrame="_blank" w:history="1">
        <w:r w:rsidRPr="007526EC">
          <w:rPr>
            <w:rStyle w:val="Hyperlink"/>
            <w:color w:val="000000" w:themeColor="text1"/>
          </w:rPr>
          <w:t xml:space="preserve">10.1186/1471-2202-12-40. </w:t>
        </w:r>
      </w:hyperlink>
    </w:p>
    <w:p w14:paraId="64324C6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[20]</w:t>
      </w:r>
      <w:r w:rsidRPr="007526EC">
        <w:rPr>
          <w:noProof/>
          <w:color w:val="000000" w:themeColor="text1"/>
        </w:rPr>
        <w:tab/>
        <w:t xml:space="preserve">E. Jagtiani, M. Yeolekar, S. Naik, V. Patravale, </w:t>
      </w:r>
      <w:r w:rsidRPr="007526EC">
        <w:rPr>
          <w:color w:val="000000" w:themeColor="text1"/>
        </w:rPr>
        <w:t xml:space="preserve">In vitro blood brain barrier models: An overview, </w:t>
      </w:r>
      <w:r w:rsidRPr="007526EC">
        <w:rPr>
          <w:i/>
          <w:iCs/>
          <w:noProof/>
          <w:color w:val="000000" w:themeColor="text1"/>
        </w:rPr>
        <w:t>J. Control. Release</w:t>
      </w:r>
      <w:r w:rsidRPr="007526EC">
        <w:rPr>
          <w:noProof/>
          <w:color w:val="000000" w:themeColor="text1"/>
        </w:rPr>
        <w:t xml:space="preserve">, </w:t>
      </w:r>
      <w:r w:rsidRPr="007526EC">
        <w:rPr>
          <w:i/>
          <w:iCs/>
          <w:noProof/>
          <w:color w:val="000000" w:themeColor="text1"/>
        </w:rPr>
        <w:t>343</w:t>
      </w:r>
      <w:r w:rsidRPr="007526EC">
        <w:rPr>
          <w:noProof/>
          <w:color w:val="000000" w:themeColor="text1"/>
        </w:rPr>
        <w:t xml:space="preserve">, (2022) 13, </w:t>
      </w:r>
      <w:hyperlink r:id="rId31" w:tgtFrame="_blank" w:history="1">
        <w:r w:rsidRPr="007526EC">
          <w:rPr>
            <w:rStyle w:val="Hyperlink"/>
            <w:color w:val="000000" w:themeColor="text1"/>
          </w:rPr>
          <w:t xml:space="preserve">10.1016/j.jconrel.2022.01.011. </w:t>
        </w:r>
      </w:hyperlink>
    </w:p>
    <w:p w14:paraId="78AA7DA8"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[21]</w:t>
      </w:r>
      <w:r w:rsidRPr="007526EC">
        <w:rPr>
          <w:noProof/>
          <w:color w:val="000000" w:themeColor="text1"/>
        </w:rPr>
        <w:tab/>
        <w:t xml:space="preserve">C. E. Staicu, F. Jipa, E. Axente, M. Radu, B. M. Radu, F. Sima, </w:t>
      </w:r>
      <w:r w:rsidRPr="007526EC">
        <w:rPr>
          <w:color w:val="000000" w:themeColor="text1"/>
        </w:rPr>
        <w:t xml:space="preserve">Lab-on-a-Chip Platforms as Tools for Drug Screening in Neuropathologies Associated with Blood–Brain Barrier Alterations, </w:t>
      </w:r>
      <w:r w:rsidRPr="007526EC">
        <w:rPr>
          <w:i/>
          <w:iCs/>
          <w:noProof/>
          <w:color w:val="000000" w:themeColor="text1"/>
        </w:rPr>
        <w:t>Biomolecules</w:t>
      </w:r>
      <w:r w:rsidRPr="007526EC">
        <w:rPr>
          <w:noProof/>
          <w:color w:val="000000" w:themeColor="text1"/>
        </w:rPr>
        <w:t xml:space="preserve">, </w:t>
      </w:r>
      <w:r w:rsidRPr="007526EC">
        <w:rPr>
          <w:i/>
          <w:iCs/>
          <w:noProof/>
          <w:color w:val="000000" w:themeColor="text1"/>
        </w:rPr>
        <w:t>11</w:t>
      </w:r>
      <w:r w:rsidRPr="007526EC">
        <w:rPr>
          <w:noProof/>
          <w:color w:val="000000" w:themeColor="text1"/>
        </w:rPr>
        <w:t>, (2021), 6:916, https://doi.org/10.3390/biom11060916.</w:t>
      </w:r>
    </w:p>
    <w:p w14:paraId="3FA39F9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[22]</w:t>
      </w:r>
      <w:r w:rsidRPr="007526EC">
        <w:rPr>
          <w:noProof/>
          <w:color w:val="000000" w:themeColor="text1"/>
        </w:rPr>
        <w:tab/>
        <w:t xml:space="preserve">W. Bi, S. Cai, T. Lei, L. Wang, Implementation of blood-brain barrier on microfluidic chip: Recent advance and future prospects, </w:t>
      </w:r>
      <w:r w:rsidRPr="007526EC">
        <w:rPr>
          <w:i/>
          <w:iCs/>
          <w:noProof/>
          <w:color w:val="000000" w:themeColor="text1"/>
        </w:rPr>
        <w:t>Ageing Res. Rev.</w:t>
      </w:r>
      <w:r w:rsidRPr="007526EC">
        <w:rPr>
          <w:noProof/>
          <w:color w:val="000000" w:themeColor="text1"/>
        </w:rPr>
        <w:t xml:space="preserve">, </w:t>
      </w:r>
      <w:r w:rsidRPr="007526EC">
        <w:rPr>
          <w:i/>
          <w:iCs/>
          <w:noProof/>
          <w:color w:val="000000" w:themeColor="text1"/>
        </w:rPr>
        <w:t>87</w:t>
      </w:r>
      <w:r w:rsidRPr="007526EC">
        <w:rPr>
          <w:noProof/>
          <w:color w:val="000000" w:themeColor="text1"/>
        </w:rPr>
        <w:t xml:space="preserve">, (2023) 101921, https://doi.org/10.1016/j.arr.2023.101921. </w:t>
      </w:r>
    </w:p>
    <w:p w14:paraId="032E9D4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[23]</w:t>
      </w:r>
      <w:r w:rsidRPr="007526EC">
        <w:rPr>
          <w:noProof/>
          <w:color w:val="000000" w:themeColor="text1"/>
        </w:rPr>
        <w:tab/>
        <w:t xml:space="preserve">L. M. Griep, F. Wolbers, B. de Wagenaar, P. M. ter Braak, B. B. Weksler, I. A. Romero, P. O. Couraud, I. Vermes, A. D. van der Meer, A. van den Berg, </w:t>
      </w:r>
      <w:r w:rsidRPr="007526EC">
        <w:rPr>
          <w:color w:val="000000" w:themeColor="text1"/>
        </w:rPr>
        <w:t xml:space="preserve">BBB on chip: microfluidic platform to mechanically and biochemically modulate blood-brain barrier function, </w:t>
      </w:r>
      <w:r w:rsidRPr="007526EC">
        <w:rPr>
          <w:i/>
          <w:iCs/>
          <w:noProof/>
          <w:color w:val="000000" w:themeColor="text1"/>
        </w:rPr>
        <w:t>Biomed. Microdevices</w:t>
      </w:r>
      <w:r w:rsidRPr="007526EC">
        <w:rPr>
          <w:noProof/>
          <w:color w:val="000000" w:themeColor="text1"/>
        </w:rPr>
        <w:t xml:space="preserve">, </w:t>
      </w:r>
      <w:r w:rsidRPr="007526EC">
        <w:rPr>
          <w:i/>
          <w:iCs/>
          <w:noProof/>
          <w:color w:val="000000" w:themeColor="text1"/>
        </w:rPr>
        <w:t>15</w:t>
      </w:r>
      <w:r w:rsidRPr="007526EC">
        <w:rPr>
          <w:noProof/>
          <w:color w:val="000000" w:themeColor="text1"/>
        </w:rPr>
        <w:t xml:space="preserve">, (2023) 145-50, </w:t>
      </w:r>
      <w:hyperlink r:id="rId32" w:tgtFrame="_blank" w:history="1">
        <w:r w:rsidRPr="007526EC">
          <w:rPr>
            <w:rStyle w:val="Hyperlink"/>
            <w:color w:val="000000" w:themeColor="text1"/>
          </w:rPr>
          <w:t xml:space="preserve">10.1007/s10544-012-9699-7. </w:t>
        </w:r>
      </w:hyperlink>
    </w:p>
    <w:p w14:paraId="2E558251"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[24]</w:t>
      </w:r>
      <w:r w:rsidRPr="007526EC">
        <w:rPr>
          <w:noProof/>
          <w:color w:val="000000" w:themeColor="text1"/>
        </w:rPr>
        <w:tab/>
        <w:t xml:space="preserve">J. Banerjee, Y. Shi, H. S. Azevedo, </w:t>
      </w:r>
      <w:r w:rsidRPr="007526EC">
        <w:rPr>
          <w:color w:val="000000" w:themeColor="text1"/>
        </w:rPr>
        <w:t>In vitro blood-brain barrier models for drug research: state-</w:t>
      </w:r>
      <w:r w:rsidRPr="007526EC">
        <w:rPr>
          <w:color w:val="000000" w:themeColor="text1"/>
        </w:rPr>
        <w:lastRenderedPageBreak/>
        <w:t>of-the-art and new perspectives on reconstituting these models on artificial basement membrane platforms,</w:t>
      </w:r>
      <w:r w:rsidRPr="007526EC">
        <w:rPr>
          <w:noProof/>
          <w:color w:val="000000" w:themeColor="text1"/>
        </w:rPr>
        <w:t xml:space="preserve"> </w:t>
      </w:r>
      <w:r w:rsidRPr="007526EC">
        <w:rPr>
          <w:i/>
          <w:iCs/>
          <w:noProof/>
          <w:color w:val="000000" w:themeColor="text1"/>
        </w:rPr>
        <w:t>Drug Discov. Today</w:t>
      </w:r>
      <w:r w:rsidRPr="007526EC">
        <w:rPr>
          <w:noProof/>
          <w:color w:val="000000" w:themeColor="text1"/>
        </w:rPr>
        <w:t xml:space="preserve">, </w:t>
      </w:r>
      <w:r w:rsidRPr="007526EC">
        <w:rPr>
          <w:i/>
          <w:iCs/>
          <w:noProof/>
          <w:color w:val="000000" w:themeColor="text1"/>
        </w:rPr>
        <w:t>21</w:t>
      </w:r>
      <w:r w:rsidRPr="007526EC">
        <w:rPr>
          <w:noProof/>
          <w:color w:val="000000" w:themeColor="text1"/>
        </w:rPr>
        <w:t xml:space="preserve">, (2016) </w:t>
      </w:r>
      <w:r w:rsidRPr="007526EC">
        <w:rPr>
          <w:color w:val="000000" w:themeColor="text1"/>
        </w:rPr>
        <w:t>1367-1386</w:t>
      </w:r>
      <w:r w:rsidRPr="007526EC">
        <w:rPr>
          <w:noProof/>
          <w:color w:val="000000" w:themeColor="text1"/>
        </w:rPr>
        <w:t xml:space="preserve">, </w:t>
      </w:r>
      <w:hyperlink r:id="rId33" w:tgtFrame="_blank" w:history="1">
        <w:r w:rsidRPr="007526EC">
          <w:rPr>
            <w:rStyle w:val="Hyperlink"/>
            <w:color w:val="000000" w:themeColor="text1"/>
          </w:rPr>
          <w:t xml:space="preserve">10.1016/j.drudis.2016.05.020. </w:t>
        </w:r>
      </w:hyperlink>
    </w:p>
    <w:p w14:paraId="2175341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[25]</w:t>
      </w:r>
      <w:r w:rsidRPr="007526EC">
        <w:rPr>
          <w:noProof/>
          <w:color w:val="000000" w:themeColor="text1"/>
        </w:rPr>
        <w:tab/>
        <w:t xml:space="preserve">T. G. Schreiner, I. Creangă-Murariu, B. I. Tamba, N. Lucanu, B. O. Popescu, </w:t>
      </w:r>
      <w:r w:rsidRPr="007526EC">
        <w:rPr>
          <w:color w:val="000000" w:themeColor="text1"/>
        </w:rPr>
        <w:t>In Vitro Modeling of the Blood-Brain Barrier for the Study of Physiological Conditions and Alzheimer's Disease,</w:t>
      </w:r>
      <w:r w:rsidRPr="007526EC">
        <w:rPr>
          <w:noProof/>
          <w:color w:val="000000" w:themeColor="text1"/>
        </w:rPr>
        <w:t xml:space="preserve"> </w:t>
      </w:r>
      <w:r w:rsidRPr="007526EC">
        <w:rPr>
          <w:i/>
          <w:iCs/>
          <w:noProof/>
          <w:color w:val="000000" w:themeColor="text1"/>
        </w:rPr>
        <w:t>Biomolecules</w:t>
      </w:r>
      <w:r w:rsidRPr="007526EC">
        <w:rPr>
          <w:noProof/>
          <w:color w:val="000000" w:themeColor="text1"/>
        </w:rPr>
        <w:t xml:space="preserve">, </w:t>
      </w:r>
      <w:r w:rsidRPr="007526EC">
        <w:rPr>
          <w:i/>
          <w:iCs/>
          <w:noProof/>
          <w:color w:val="000000" w:themeColor="text1"/>
        </w:rPr>
        <w:t>12</w:t>
      </w:r>
      <w:r w:rsidRPr="007526EC">
        <w:rPr>
          <w:color w:val="000000" w:themeColor="text1"/>
        </w:rPr>
        <w:t xml:space="preserve">(8), (2022) 1136, </w:t>
      </w:r>
      <w:hyperlink r:id="rId34" w:tgtFrame="_blank" w:history="1">
        <w:r w:rsidRPr="007526EC">
          <w:rPr>
            <w:rStyle w:val="Hyperlink"/>
            <w:color w:val="000000" w:themeColor="text1"/>
          </w:rPr>
          <w:t xml:space="preserve">10.3390/biom12081136. </w:t>
        </w:r>
      </w:hyperlink>
    </w:p>
    <w:p w14:paraId="285D59D0"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[26]</w:t>
      </w:r>
      <w:r w:rsidRPr="007526EC">
        <w:rPr>
          <w:noProof/>
          <w:color w:val="000000" w:themeColor="text1"/>
        </w:rPr>
        <w:tab/>
        <w:t xml:space="preserve">P. S. Steeg, </w:t>
      </w:r>
      <w:r w:rsidRPr="007526EC">
        <w:rPr>
          <w:color w:val="000000" w:themeColor="text1"/>
        </w:rPr>
        <w:t>The blood-tumour barrier in cancer biology and therapy</w:t>
      </w:r>
      <w:r w:rsidRPr="007526EC">
        <w:rPr>
          <w:i/>
          <w:iCs/>
          <w:noProof/>
          <w:color w:val="000000" w:themeColor="text1"/>
        </w:rPr>
        <w:t>Nat. Rev. Clin. Oncol.</w:t>
      </w:r>
      <w:r w:rsidRPr="007526EC">
        <w:rPr>
          <w:noProof/>
          <w:color w:val="000000" w:themeColor="text1"/>
        </w:rPr>
        <w:t>, 1</w:t>
      </w:r>
      <w:r w:rsidRPr="007526EC">
        <w:rPr>
          <w:color w:val="000000" w:themeColor="text1"/>
        </w:rPr>
        <w:t xml:space="preserve">8(11), (2021) 696-714, </w:t>
      </w:r>
      <w:hyperlink r:id="rId35" w:tgtFrame="_blank" w:history="1">
        <w:r w:rsidRPr="007526EC">
          <w:rPr>
            <w:rStyle w:val="Hyperlink"/>
            <w:color w:val="000000" w:themeColor="text1"/>
          </w:rPr>
          <w:t xml:space="preserve">10.1038/s41571-021-00529-6. </w:t>
        </w:r>
      </w:hyperlink>
    </w:p>
    <w:p w14:paraId="204B3E28"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[27]</w:t>
      </w:r>
      <w:r w:rsidRPr="007526EC">
        <w:rPr>
          <w:noProof/>
          <w:color w:val="000000" w:themeColor="text1"/>
        </w:rPr>
        <w:tab/>
        <w:t xml:space="preserve">P. Solar, M. Hendrych, M. Barak, H. Valekova, M. Hermanova, R. Jancalek, </w:t>
      </w:r>
      <w:r w:rsidRPr="007526EC">
        <w:rPr>
          <w:color w:val="000000" w:themeColor="text1"/>
        </w:rPr>
        <w:t xml:space="preserve">Blood-Brain Barrier Alterations and Edema Formation in Different Brain Mass Lesions, </w:t>
      </w:r>
      <w:r w:rsidRPr="007526EC">
        <w:rPr>
          <w:i/>
          <w:iCs/>
          <w:noProof/>
          <w:color w:val="000000" w:themeColor="text1"/>
        </w:rPr>
        <w:t>Front. Cell. Neurosci.</w:t>
      </w:r>
      <w:r w:rsidRPr="007526EC">
        <w:rPr>
          <w:noProof/>
          <w:color w:val="000000" w:themeColor="text1"/>
        </w:rPr>
        <w:t xml:space="preserve">, </w:t>
      </w:r>
      <w:r w:rsidRPr="007526EC">
        <w:rPr>
          <w:i/>
          <w:iCs/>
          <w:noProof/>
          <w:color w:val="000000" w:themeColor="text1"/>
        </w:rPr>
        <w:t>16</w:t>
      </w:r>
      <w:r w:rsidRPr="007526EC">
        <w:rPr>
          <w:noProof/>
          <w:color w:val="000000" w:themeColor="text1"/>
        </w:rPr>
        <w:t xml:space="preserve">, (2022) </w:t>
      </w:r>
      <w:r w:rsidRPr="007526EC">
        <w:rPr>
          <w:color w:val="000000" w:themeColor="text1"/>
        </w:rPr>
        <w:t xml:space="preserve">922181, </w:t>
      </w:r>
      <w:hyperlink r:id="rId36" w:tgtFrame="_blank" w:history="1">
        <w:r w:rsidRPr="007526EC">
          <w:rPr>
            <w:rStyle w:val="Hyperlink"/>
            <w:color w:val="000000" w:themeColor="text1"/>
          </w:rPr>
          <w:t xml:space="preserve">10.3389/fncel.2022.922181. </w:t>
        </w:r>
      </w:hyperlink>
    </w:p>
    <w:p w14:paraId="019C43D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[28]</w:t>
      </w:r>
      <w:r w:rsidRPr="007526EC">
        <w:rPr>
          <w:noProof/>
          <w:color w:val="000000" w:themeColor="text1"/>
        </w:rPr>
        <w:tab/>
        <w:t xml:space="preserve">C. D. Arvanitis, G. B. Ferraro, R. K. Jain, </w:t>
      </w:r>
      <w:r w:rsidRPr="007526EC">
        <w:rPr>
          <w:color w:val="000000" w:themeColor="text1"/>
        </w:rPr>
        <w:t xml:space="preserve">The blood-brain barrier and blood-tumour barrier in brain tumours and metastases, </w:t>
      </w:r>
      <w:r w:rsidRPr="007526EC">
        <w:rPr>
          <w:i/>
          <w:iCs/>
          <w:noProof/>
          <w:color w:val="000000" w:themeColor="text1"/>
        </w:rPr>
        <w:t>Nat. Rev. Cancer</w:t>
      </w:r>
      <w:r w:rsidRPr="007526EC">
        <w:rPr>
          <w:noProof/>
          <w:color w:val="000000" w:themeColor="text1"/>
        </w:rPr>
        <w:t xml:space="preserve">, </w:t>
      </w:r>
      <w:r w:rsidRPr="007526EC">
        <w:rPr>
          <w:i/>
          <w:iCs/>
          <w:noProof/>
          <w:color w:val="000000" w:themeColor="text1"/>
        </w:rPr>
        <w:t>20</w:t>
      </w:r>
      <w:r w:rsidRPr="007526EC">
        <w:rPr>
          <w:noProof/>
          <w:color w:val="000000" w:themeColor="text1"/>
        </w:rPr>
        <w:t xml:space="preserve">, (2020) </w:t>
      </w:r>
      <w:r w:rsidRPr="007526EC">
        <w:rPr>
          <w:color w:val="000000" w:themeColor="text1"/>
        </w:rPr>
        <w:t>26-41</w:t>
      </w:r>
      <w:r w:rsidRPr="007526EC">
        <w:rPr>
          <w:noProof/>
          <w:color w:val="000000" w:themeColor="text1"/>
        </w:rPr>
        <w:t xml:space="preserve">, </w:t>
      </w:r>
      <w:hyperlink r:id="rId37" w:tgtFrame="_blank" w:history="1">
        <w:r w:rsidRPr="007526EC">
          <w:rPr>
            <w:rStyle w:val="Hyperlink"/>
            <w:color w:val="000000" w:themeColor="text1"/>
          </w:rPr>
          <w:t xml:space="preserve">10.1038/s41568-019-0205-x. </w:t>
        </w:r>
      </w:hyperlink>
    </w:p>
    <w:p w14:paraId="62E3A1F7"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[29]</w:t>
      </w:r>
      <w:r w:rsidRPr="007526EC">
        <w:rPr>
          <w:noProof/>
          <w:color w:val="000000" w:themeColor="text1"/>
        </w:rPr>
        <w:tab/>
        <w:t>L. Zhang, A. Dimberg, J. Rasouli,</w:t>
      </w:r>
      <w:r w:rsidRPr="007526EC">
        <w:rPr>
          <w:color w:val="000000" w:themeColor="text1"/>
        </w:rPr>
        <w:t xml:space="preserve"> Editorial: The blood-brain barrier in brain tumors: molecular mechanisms and therapeutic strategies, </w:t>
      </w:r>
      <w:r w:rsidRPr="007526EC">
        <w:rPr>
          <w:i/>
          <w:iCs/>
          <w:noProof/>
          <w:color w:val="000000" w:themeColor="text1"/>
        </w:rPr>
        <w:t>Front. Neurol.</w:t>
      </w:r>
      <w:r w:rsidRPr="007526EC">
        <w:rPr>
          <w:noProof/>
          <w:color w:val="000000" w:themeColor="text1"/>
        </w:rPr>
        <w:t xml:space="preserve">, </w:t>
      </w:r>
      <w:r w:rsidRPr="007526EC">
        <w:rPr>
          <w:i/>
          <w:iCs/>
          <w:noProof/>
          <w:color w:val="000000" w:themeColor="text1"/>
        </w:rPr>
        <w:t>14</w:t>
      </w:r>
      <w:r w:rsidRPr="007526EC">
        <w:rPr>
          <w:noProof/>
          <w:color w:val="000000" w:themeColor="text1"/>
        </w:rPr>
        <w:t xml:space="preserve">, (2023) 1225594, </w:t>
      </w:r>
      <w:hyperlink r:id="rId38" w:tgtFrame="_blank" w:history="1">
        <w:r w:rsidRPr="007526EC">
          <w:rPr>
            <w:rStyle w:val="Hyperlink"/>
            <w:color w:val="000000" w:themeColor="text1"/>
          </w:rPr>
          <w:t xml:space="preserve">10.3389/fneur.2023.1225594. </w:t>
        </w:r>
      </w:hyperlink>
    </w:p>
    <w:p w14:paraId="51C95B2B"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[30]</w:t>
      </w:r>
      <w:r w:rsidRPr="007526EC">
        <w:rPr>
          <w:noProof/>
          <w:color w:val="000000" w:themeColor="text1"/>
        </w:rPr>
        <w:tab/>
        <w:t xml:space="preserve">A. Kamiya, R. Bukhari, T. Togawa, </w:t>
      </w:r>
      <w:r w:rsidRPr="007526EC">
        <w:rPr>
          <w:color w:val="000000" w:themeColor="text1"/>
        </w:rPr>
        <w:t xml:space="preserve">Adaptive regulation of wall shear stress optimizing vascular tree function, </w:t>
      </w:r>
      <w:r w:rsidRPr="007526EC">
        <w:rPr>
          <w:i/>
          <w:iCs/>
          <w:noProof/>
          <w:color w:val="000000" w:themeColor="text1"/>
        </w:rPr>
        <w:t>Bull. Math. Biol.</w:t>
      </w:r>
      <w:r w:rsidRPr="007526EC">
        <w:rPr>
          <w:noProof/>
          <w:color w:val="000000" w:themeColor="text1"/>
        </w:rPr>
        <w:t xml:space="preserve">, </w:t>
      </w:r>
      <w:r w:rsidRPr="007526EC">
        <w:rPr>
          <w:i/>
          <w:iCs/>
          <w:noProof/>
          <w:color w:val="000000" w:themeColor="text1"/>
        </w:rPr>
        <w:t>46</w:t>
      </w:r>
      <w:r w:rsidRPr="007526EC">
        <w:rPr>
          <w:noProof/>
          <w:color w:val="000000" w:themeColor="text1"/>
        </w:rPr>
        <w:t xml:space="preserve">, (1984) </w:t>
      </w:r>
      <w:r w:rsidRPr="007526EC">
        <w:rPr>
          <w:color w:val="000000" w:themeColor="text1"/>
        </w:rPr>
        <w:t xml:space="preserve">127-37, </w:t>
      </w:r>
      <w:hyperlink r:id="rId39" w:tgtFrame="_blank" w:history="1">
        <w:r w:rsidRPr="007526EC">
          <w:rPr>
            <w:rStyle w:val="Hyperlink"/>
            <w:color w:val="000000" w:themeColor="text1"/>
          </w:rPr>
          <w:t xml:space="preserve">10.1007/BF02463726. </w:t>
        </w:r>
      </w:hyperlink>
    </w:p>
    <w:p w14:paraId="34BB6F24"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[31]</w:t>
      </w:r>
      <w:r w:rsidRPr="007526EC">
        <w:rPr>
          <w:noProof/>
          <w:color w:val="000000" w:themeColor="text1"/>
        </w:rPr>
        <w:tab/>
        <w:t xml:space="preserve">C. S. Lee, K. W. Leong, </w:t>
      </w:r>
      <w:r w:rsidRPr="007526EC">
        <w:rPr>
          <w:color w:val="000000" w:themeColor="text1"/>
        </w:rPr>
        <w:t xml:space="preserve">Advances in microphysiological blood-brain barrier (BBB) models towards drug delivery, </w:t>
      </w:r>
      <w:r w:rsidRPr="007526EC">
        <w:rPr>
          <w:i/>
          <w:iCs/>
          <w:noProof/>
          <w:color w:val="000000" w:themeColor="text1"/>
        </w:rPr>
        <w:t>Curr. Opin. Biotechnol.</w:t>
      </w:r>
      <w:r w:rsidRPr="007526EC">
        <w:rPr>
          <w:noProof/>
          <w:color w:val="000000" w:themeColor="text1"/>
        </w:rPr>
        <w:t xml:space="preserve">, </w:t>
      </w:r>
      <w:r w:rsidRPr="007526EC">
        <w:rPr>
          <w:color w:val="000000" w:themeColor="text1"/>
        </w:rPr>
        <w:t xml:space="preserve">66, (2020) 78-87, </w:t>
      </w:r>
      <w:hyperlink r:id="rId40" w:tgtFrame="_blank" w:history="1">
        <w:r w:rsidRPr="007526EC">
          <w:rPr>
            <w:rStyle w:val="Hyperlink"/>
            <w:color w:val="000000" w:themeColor="text1"/>
          </w:rPr>
          <w:t xml:space="preserve">10.1016/j.copbio.2020.06.009. </w:t>
        </w:r>
      </w:hyperlink>
    </w:p>
    <w:p w14:paraId="15A38ED9"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[32]</w:t>
      </w:r>
      <w:r w:rsidRPr="007526EC">
        <w:rPr>
          <w:noProof/>
          <w:color w:val="000000" w:themeColor="text1"/>
        </w:rPr>
        <w:tab/>
        <w:t xml:space="preserve">M. Ohbuchi, M. Shibuta, K. Tetsuka, H. Sasaki-Iwaoka, M. Oishi, F. Shimizu, Y. Nagasaka, </w:t>
      </w:r>
      <w:r w:rsidRPr="007526EC">
        <w:rPr>
          <w:color w:val="000000" w:themeColor="text1"/>
        </w:rPr>
        <w:t xml:space="preserve">Modeling of Blood-Brain Barrier (BBB) Dysfunction and Immune Cell Migration Using Human BBB-on-a-Chip for Drug Discovery Research, </w:t>
      </w:r>
      <w:r w:rsidRPr="007526EC">
        <w:rPr>
          <w:i/>
          <w:iCs/>
          <w:noProof/>
          <w:color w:val="000000" w:themeColor="text1"/>
        </w:rPr>
        <w:t>Int. J. Mol. Sci.</w:t>
      </w:r>
      <w:r w:rsidRPr="007526EC">
        <w:rPr>
          <w:noProof/>
          <w:color w:val="000000" w:themeColor="text1"/>
        </w:rPr>
        <w:t xml:space="preserve">, </w:t>
      </w:r>
      <w:r w:rsidRPr="007526EC">
        <w:rPr>
          <w:color w:val="000000" w:themeColor="text1"/>
        </w:rPr>
        <w:t xml:space="preserve">25, (2024) 6496, </w:t>
      </w:r>
      <w:hyperlink r:id="rId41" w:tgtFrame="_blank" w:history="1">
        <w:r w:rsidRPr="007526EC">
          <w:rPr>
            <w:rStyle w:val="Hyperlink"/>
            <w:color w:val="000000" w:themeColor="text1"/>
          </w:rPr>
          <w:t xml:space="preserve">10.3390/ijms25126496. </w:t>
        </w:r>
      </w:hyperlink>
    </w:p>
    <w:p w14:paraId="3EABDB58"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[33]</w:t>
      </w:r>
      <w:r w:rsidRPr="007526EC">
        <w:rPr>
          <w:noProof/>
          <w:color w:val="000000" w:themeColor="text1"/>
        </w:rPr>
        <w:tab/>
        <w:t xml:space="preserve">H. Bradley, L. E. Markowitz, T. Gibson, G. M. McQuillan, </w:t>
      </w:r>
      <w:r w:rsidRPr="007526EC">
        <w:rPr>
          <w:color w:val="000000" w:themeColor="text1"/>
        </w:rPr>
        <w:t>Seroprevalence of herpes simplex virus types 1 and 2--United States, 1999-2010,</w:t>
      </w:r>
      <w:r w:rsidRPr="007526EC">
        <w:rPr>
          <w:noProof/>
          <w:color w:val="000000" w:themeColor="text1"/>
        </w:rPr>
        <w:t xml:space="preserve"> </w:t>
      </w:r>
      <w:r w:rsidRPr="007526EC">
        <w:rPr>
          <w:i/>
          <w:iCs/>
          <w:noProof/>
          <w:color w:val="000000" w:themeColor="text1"/>
        </w:rPr>
        <w:t>J. Infect. Dis.</w:t>
      </w:r>
      <w:r w:rsidRPr="007526EC">
        <w:rPr>
          <w:noProof/>
          <w:color w:val="000000" w:themeColor="text1"/>
        </w:rPr>
        <w:t xml:space="preserve">, </w:t>
      </w:r>
      <w:r w:rsidRPr="007526EC">
        <w:rPr>
          <w:color w:val="000000" w:themeColor="text1"/>
        </w:rPr>
        <w:t xml:space="preserve">209(3),  (2014) 325-33, </w:t>
      </w:r>
      <w:hyperlink r:id="rId42" w:tgtFrame="_blank" w:history="1">
        <w:r w:rsidRPr="007526EC">
          <w:rPr>
            <w:rStyle w:val="Hyperlink"/>
            <w:color w:val="000000" w:themeColor="text1"/>
          </w:rPr>
          <w:t xml:space="preserve">10.1093/infdis/jit458 </w:t>
        </w:r>
      </w:hyperlink>
    </w:p>
    <w:p w14:paraId="620AA7DE"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[34]</w:t>
      </w:r>
      <w:r w:rsidRPr="007526EC">
        <w:rPr>
          <w:noProof/>
          <w:color w:val="000000" w:themeColor="text1"/>
        </w:rPr>
        <w:tab/>
        <w:t xml:space="preserve">K. Linnavuori, T. Hovi, </w:t>
      </w:r>
      <w:r w:rsidRPr="007526EC">
        <w:rPr>
          <w:color w:val="000000" w:themeColor="text1"/>
        </w:rPr>
        <w:t xml:space="preserve">Herpes simplex virus infection in human monocyte cultures: dose-dependent inhibition of monocyte differentiation resulting in abortive infection, </w:t>
      </w:r>
      <w:r w:rsidRPr="007526EC">
        <w:rPr>
          <w:i/>
          <w:iCs/>
          <w:noProof/>
          <w:color w:val="000000" w:themeColor="text1"/>
        </w:rPr>
        <w:t>J. Gen. Virol.</w:t>
      </w:r>
      <w:r w:rsidRPr="007526EC">
        <w:rPr>
          <w:noProof/>
          <w:color w:val="000000" w:themeColor="text1"/>
        </w:rPr>
        <w:t xml:space="preserve">, </w:t>
      </w:r>
      <w:r w:rsidRPr="007526EC">
        <w:rPr>
          <w:i/>
          <w:iCs/>
          <w:noProof/>
          <w:color w:val="000000" w:themeColor="text1"/>
        </w:rPr>
        <w:t>52</w:t>
      </w:r>
      <w:r w:rsidRPr="007526EC">
        <w:rPr>
          <w:noProof/>
          <w:color w:val="000000" w:themeColor="text1"/>
        </w:rPr>
        <w:t xml:space="preserve">, (1981) 381-5, </w:t>
      </w:r>
      <w:hyperlink r:id="rId43" w:tgtFrame="_blank" w:history="1">
        <w:r w:rsidRPr="007526EC">
          <w:rPr>
            <w:rStyle w:val="Hyperlink"/>
            <w:color w:val="000000" w:themeColor="text1"/>
          </w:rPr>
          <w:t xml:space="preserve">10.1099/0022-1317-52-2-381. </w:t>
        </w:r>
      </w:hyperlink>
    </w:p>
    <w:p w14:paraId="4DD6D4E0"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[35]</w:t>
      </w:r>
      <w:r w:rsidRPr="007526EC">
        <w:rPr>
          <w:noProof/>
          <w:color w:val="000000" w:themeColor="text1"/>
        </w:rPr>
        <w:tab/>
        <w:t xml:space="preserve">M. Li, M. Zhu, R. Huang, K. Wang, Z. Zeng, L. Xiao, Y. Lin, D. Liu, Blood-brain barrier microfluidic chips and their applications, </w:t>
      </w:r>
      <w:r w:rsidRPr="007526EC">
        <w:rPr>
          <w:i/>
          <w:noProof/>
          <w:color w:val="000000" w:themeColor="text1"/>
        </w:rPr>
        <w:t>Organs-on-a-Chip</w:t>
      </w:r>
      <w:r w:rsidRPr="007526EC">
        <w:rPr>
          <w:noProof/>
          <w:color w:val="000000" w:themeColor="text1"/>
        </w:rPr>
        <w:t xml:space="preserve">, 5, (2023) 2666-1020, https://doi.org/10.1016/j.ooc.2023.100027. </w:t>
      </w:r>
    </w:p>
    <w:p w14:paraId="45B17E6D" w14:textId="77777777" w:rsidR="00276D28" w:rsidRPr="007526EC" w:rsidRDefault="00276D28" w:rsidP="00276D28">
      <w:pPr>
        <w:widowControl w:val="0"/>
        <w:autoSpaceDE w:val="0"/>
        <w:autoSpaceDN w:val="0"/>
        <w:adjustRightInd w:val="0"/>
        <w:spacing w:line="276" w:lineRule="auto"/>
        <w:ind w:left="640" w:hanging="640"/>
        <w:jc w:val="both"/>
        <w:rPr>
          <w:rStyle w:val="Hyperlink"/>
          <w:color w:val="000000" w:themeColor="text1"/>
        </w:rPr>
      </w:pPr>
      <w:r w:rsidRPr="007526EC">
        <w:rPr>
          <w:noProof/>
          <w:color w:val="000000" w:themeColor="text1"/>
        </w:rPr>
        <w:t>[36]</w:t>
      </w:r>
      <w:r w:rsidRPr="007526EC">
        <w:rPr>
          <w:noProof/>
          <w:color w:val="000000" w:themeColor="text1"/>
        </w:rPr>
        <w:tab/>
        <w:t>C. Hajal, G. S. Offeddu, Y. Shin, S. Zhang, O. Morozova, D. Hickman, C. G. Knutson, R. D. Kamm,</w:t>
      </w:r>
      <w:r w:rsidRPr="007526EC">
        <w:rPr>
          <w:i/>
          <w:iCs/>
          <w:noProof/>
          <w:color w:val="000000" w:themeColor="text1"/>
        </w:rPr>
        <w:t xml:space="preserve"> </w:t>
      </w:r>
      <w:r w:rsidRPr="007526EC">
        <w:rPr>
          <w:color w:val="000000" w:themeColor="text1"/>
        </w:rPr>
        <w:t>Engineered human blood-brain barrier microfluidic model for vascular permeability analyses</w:t>
      </w:r>
      <w:r w:rsidRPr="007526EC">
        <w:rPr>
          <w:noProof/>
          <w:color w:val="000000" w:themeColor="text1"/>
        </w:rPr>
        <w:t xml:space="preserve">, </w:t>
      </w:r>
      <w:r w:rsidRPr="007526EC">
        <w:rPr>
          <w:i/>
          <w:color w:val="000000" w:themeColor="text1"/>
        </w:rPr>
        <w:t>Nat Protoc.,</w:t>
      </w:r>
      <w:r w:rsidRPr="007526EC">
        <w:rPr>
          <w:color w:val="000000" w:themeColor="text1"/>
        </w:rPr>
        <w:t xml:space="preserve"> 17(1), (2022) 95-128, </w:t>
      </w:r>
      <w:hyperlink r:id="rId44" w:tgtFrame="_blank" w:history="1">
        <w:r w:rsidRPr="007526EC">
          <w:rPr>
            <w:rStyle w:val="Hyperlink"/>
            <w:color w:val="000000" w:themeColor="text1"/>
          </w:rPr>
          <w:t xml:space="preserve">10.1038/s41596-021-00635-w. </w:t>
        </w:r>
      </w:hyperlink>
    </w:p>
    <w:p w14:paraId="454BE866" w14:textId="77777777" w:rsidR="00276D28" w:rsidRPr="007526EC" w:rsidRDefault="00276D28" w:rsidP="00276D28">
      <w:pPr>
        <w:widowControl w:val="0"/>
        <w:autoSpaceDE w:val="0"/>
        <w:autoSpaceDN w:val="0"/>
        <w:adjustRightInd w:val="0"/>
        <w:spacing w:line="276" w:lineRule="auto"/>
        <w:ind w:left="640" w:hanging="640"/>
        <w:jc w:val="both"/>
        <w:rPr>
          <w:color w:val="000000" w:themeColor="text1"/>
          <w:u w:val="single"/>
        </w:rPr>
      </w:pPr>
      <w:r w:rsidRPr="007526EC">
        <w:rPr>
          <w:noProof/>
          <w:color w:val="000000" w:themeColor="text1"/>
        </w:rPr>
        <w:t>[37]</w:t>
      </w:r>
      <w:r w:rsidRPr="007526EC">
        <w:rPr>
          <w:noProof/>
          <w:color w:val="000000" w:themeColor="text1"/>
        </w:rPr>
        <w:tab/>
        <w:t xml:space="preserve">H. Wolburg, K. Wolburg-Buchholz, B. Engelhardt, </w:t>
      </w:r>
      <w:r w:rsidRPr="007526EC">
        <w:rPr>
          <w:color w:val="000000" w:themeColor="text1"/>
        </w:rPr>
        <w:t xml:space="preserve">Diapedesis of mononuclear cells across cerebral venules during experimental autoimmune encephalomyelitis leaves tight junctions intact, </w:t>
      </w:r>
      <w:r w:rsidRPr="007526EC">
        <w:rPr>
          <w:i/>
          <w:iCs/>
          <w:noProof/>
          <w:color w:val="000000" w:themeColor="text1"/>
        </w:rPr>
        <w:t>Acta Neuropathol.</w:t>
      </w:r>
      <w:r w:rsidRPr="007526EC">
        <w:rPr>
          <w:noProof/>
          <w:color w:val="000000" w:themeColor="text1"/>
        </w:rPr>
        <w:t xml:space="preserve">, </w:t>
      </w:r>
      <w:r w:rsidRPr="007526EC">
        <w:rPr>
          <w:i/>
          <w:iCs/>
          <w:noProof/>
          <w:color w:val="000000" w:themeColor="text1"/>
        </w:rPr>
        <w:t>109</w:t>
      </w:r>
      <w:r w:rsidRPr="007526EC">
        <w:rPr>
          <w:noProof/>
          <w:color w:val="000000" w:themeColor="text1"/>
        </w:rPr>
        <w:t xml:space="preserve">, (2005) 181-90, </w:t>
      </w:r>
      <w:hyperlink r:id="rId45" w:tgtFrame="_blank" w:history="1">
        <w:r w:rsidRPr="007526EC">
          <w:rPr>
            <w:rStyle w:val="Hyperlink"/>
            <w:color w:val="000000" w:themeColor="text1"/>
          </w:rPr>
          <w:t xml:space="preserve">10.1007/s00401-004-0928-x.  </w:t>
        </w:r>
      </w:hyperlink>
    </w:p>
    <w:p w14:paraId="0C1F71DE"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[38]</w:t>
      </w:r>
      <w:r w:rsidRPr="007526EC">
        <w:rPr>
          <w:noProof/>
          <w:color w:val="000000" w:themeColor="text1"/>
        </w:rPr>
        <w:tab/>
        <w:t xml:space="preserve">R. Séguin, K. Biernacki, R. L. Rotondo, A. Prat, J. P. Antel, </w:t>
      </w:r>
      <w:r w:rsidRPr="007526EC">
        <w:rPr>
          <w:color w:val="000000" w:themeColor="text1"/>
        </w:rPr>
        <w:t xml:space="preserve">Regulation and functional effects of monocyte migration across human brain-derived endothelial cells, </w:t>
      </w:r>
      <w:r w:rsidRPr="007526EC">
        <w:rPr>
          <w:i/>
          <w:iCs/>
          <w:noProof/>
          <w:color w:val="000000" w:themeColor="text1"/>
        </w:rPr>
        <w:t>J. Neuropathol. Exp. Neurol.</w:t>
      </w:r>
      <w:r w:rsidRPr="007526EC">
        <w:rPr>
          <w:noProof/>
          <w:color w:val="000000" w:themeColor="text1"/>
        </w:rPr>
        <w:t xml:space="preserve">, </w:t>
      </w:r>
      <w:r w:rsidRPr="007526EC">
        <w:rPr>
          <w:color w:val="000000" w:themeColor="text1"/>
        </w:rPr>
        <w:t xml:space="preserve">62(4), (2003) 412-9, </w:t>
      </w:r>
      <w:hyperlink r:id="rId46" w:tgtFrame="_blank" w:history="1">
        <w:r w:rsidRPr="007526EC">
          <w:rPr>
            <w:rStyle w:val="Hyperlink"/>
            <w:color w:val="000000" w:themeColor="text1"/>
          </w:rPr>
          <w:t xml:space="preserve">10.1093/jnen/62.4.412. </w:t>
        </w:r>
      </w:hyperlink>
    </w:p>
    <w:p w14:paraId="2D5FF8D6"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lastRenderedPageBreak/>
        <w:t>[39]</w:t>
      </w:r>
      <w:r w:rsidRPr="007526EC">
        <w:rPr>
          <w:noProof/>
          <w:color w:val="000000" w:themeColor="text1"/>
        </w:rPr>
        <w:tab/>
        <w:t xml:space="preserve">L. Amann, T. Masuda, M. Prinz, </w:t>
      </w:r>
      <w:r w:rsidRPr="007526EC">
        <w:rPr>
          <w:color w:val="000000" w:themeColor="text1"/>
        </w:rPr>
        <w:t xml:space="preserve">Mechanisms of myeloid cell entry to the healthy and diseased central nervous system, </w:t>
      </w:r>
      <w:r w:rsidRPr="007526EC">
        <w:rPr>
          <w:i/>
          <w:iCs/>
          <w:noProof/>
          <w:color w:val="000000" w:themeColor="text1"/>
        </w:rPr>
        <w:t>Nat. Immunol.</w:t>
      </w:r>
      <w:r w:rsidRPr="007526EC">
        <w:rPr>
          <w:noProof/>
          <w:color w:val="000000" w:themeColor="text1"/>
        </w:rPr>
        <w:t xml:space="preserve">, </w:t>
      </w:r>
      <w:r w:rsidRPr="007526EC">
        <w:rPr>
          <w:color w:val="000000" w:themeColor="text1"/>
        </w:rPr>
        <w:t xml:space="preserve">24(3), (2023) 393-407, </w:t>
      </w:r>
      <w:hyperlink r:id="rId47" w:tgtFrame="_blank" w:history="1">
        <w:r w:rsidRPr="007526EC">
          <w:rPr>
            <w:rStyle w:val="Hyperlink"/>
            <w:color w:val="000000" w:themeColor="text1"/>
          </w:rPr>
          <w:t xml:space="preserve">10.1038/s41590-022-01415-8. </w:t>
        </w:r>
      </w:hyperlink>
    </w:p>
    <w:p w14:paraId="55DA0381"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[40]</w:t>
      </w:r>
      <w:r w:rsidRPr="007526EC">
        <w:rPr>
          <w:noProof/>
          <w:color w:val="000000" w:themeColor="text1"/>
        </w:rPr>
        <w:tab/>
        <w:t xml:space="preserve">D. W. Williams, T. M. Calderon, L. Lopez, L. Carvallo-Torres, P. J. Gaskill, E. A. Eugenin, S. Morgello, J. W. Berman, </w:t>
      </w:r>
      <w:r w:rsidRPr="007526EC">
        <w:rPr>
          <w:color w:val="000000" w:themeColor="text1"/>
        </w:rPr>
        <w:t xml:space="preserve">Mechanisms of HIV entry into the CNS: increased sensitivity of HIV infected CD14+CD16+ monocytes to CCL2 and key roles of CCR2, JAM-A, and ALCAM in diapedesis, </w:t>
      </w:r>
      <w:r w:rsidRPr="007526EC">
        <w:rPr>
          <w:i/>
          <w:iCs/>
          <w:noProof/>
          <w:color w:val="000000" w:themeColor="text1"/>
        </w:rPr>
        <w:t>PLoS One</w:t>
      </w:r>
      <w:r w:rsidRPr="007526EC">
        <w:rPr>
          <w:noProof/>
          <w:color w:val="000000" w:themeColor="text1"/>
        </w:rPr>
        <w:t xml:space="preserve">, </w:t>
      </w:r>
      <w:r w:rsidRPr="007526EC">
        <w:rPr>
          <w:color w:val="000000" w:themeColor="text1"/>
        </w:rPr>
        <w:t xml:space="preserve">8(7), (2013) e69270, </w:t>
      </w:r>
      <w:hyperlink r:id="rId48" w:tgtFrame="_blank" w:history="1">
        <w:r w:rsidRPr="007526EC">
          <w:rPr>
            <w:rStyle w:val="Hyperlink"/>
            <w:color w:val="000000" w:themeColor="text1"/>
          </w:rPr>
          <w:t xml:space="preserve">10.1371/journal.pone.0069270. </w:t>
        </w:r>
      </w:hyperlink>
    </w:p>
    <w:p w14:paraId="27C55CE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[41]</w:t>
      </w:r>
      <w:r w:rsidRPr="007526EC">
        <w:rPr>
          <w:noProof/>
          <w:color w:val="000000" w:themeColor="text1"/>
        </w:rPr>
        <w:tab/>
        <w:t xml:space="preserve">G. C. de Carvalho, M.-Y. Borget, S. Bernier, D. Garneau, A. J. da Silva Duarte, N. Dumais, </w:t>
      </w:r>
      <w:r w:rsidRPr="007526EC">
        <w:rPr>
          <w:color w:val="000000" w:themeColor="text1"/>
        </w:rPr>
        <w:t>RAGE and CCR7 mediate the transmigration of Zika-infected monocytes through the blood-brain barrier,</w:t>
      </w:r>
      <w:r w:rsidRPr="007526EC">
        <w:rPr>
          <w:noProof/>
          <w:color w:val="000000" w:themeColor="text1"/>
        </w:rPr>
        <w:t xml:space="preserve"> </w:t>
      </w:r>
      <w:r w:rsidRPr="007526EC">
        <w:rPr>
          <w:i/>
          <w:iCs/>
          <w:noProof/>
          <w:color w:val="000000" w:themeColor="text1"/>
        </w:rPr>
        <w:t>Immunobiology</w:t>
      </w:r>
      <w:r w:rsidRPr="007526EC">
        <w:rPr>
          <w:noProof/>
          <w:color w:val="000000" w:themeColor="text1"/>
        </w:rPr>
        <w:t xml:space="preserve">, </w:t>
      </w:r>
      <w:r w:rsidRPr="007526EC">
        <w:rPr>
          <w:color w:val="000000" w:themeColor="text1"/>
        </w:rPr>
        <w:t xml:space="preserve">224( 6), (2019) 792-803, </w:t>
      </w:r>
      <w:hyperlink r:id="rId49" w:tgtFrame="_blank" w:history="1">
        <w:r w:rsidRPr="007526EC">
          <w:rPr>
            <w:rStyle w:val="Hyperlink"/>
            <w:color w:val="000000" w:themeColor="text1"/>
          </w:rPr>
          <w:t>10.1016/j.imbio.2019.08.007</w:t>
        </w:r>
      </w:hyperlink>
      <w:r w:rsidRPr="007526EC">
        <w:rPr>
          <w:color w:val="000000" w:themeColor="text1"/>
        </w:rPr>
        <w:t>.</w:t>
      </w:r>
    </w:p>
    <w:p w14:paraId="598AF3F8"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lang w:val="it-IT"/>
        </w:rPr>
      </w:pPr>
      <w:r w:rsidRPr="007526EC">
        <w:rPr>
          <w:noProof/>
          <w:color w:val="000000" w:themeColor="text1"/>
        </w:rPr>
        <w:t>[42]</w:t>
      </w:r>
      <w:r w:rsidRPr="007526EC">
        <w:rPr>
          <w:noProof/>
          <w:color w:val="000000" w:themeColor="text1"/>
        </w:rPr>
        <w:tab/>
        <w:t xml:space="preserve">L. Gaume, H. Chabrolles, M. Bisseux, I. Lopez-Coqueiro, L. Dehouck, A. Mirand, C. Henquell, F. Gosselet, C. Archimbaud, J.-L. Bailly, </w:t>
      </w:r>
      <w:r w:rsidRPr="007526EC">
        <w:rPr>
          <w:color w:val="000000" w:themeColor="text1"/>
        </w:rPr>
        <w:t xml:space="preserve">Enterovirus A71 crosses a human blood-brain barrier model through infected immune cells, </w:t>
      </w:r>
      <w:r w:rsidRPr="007526EC">
        <w:rPr>
          <w:i/>
          <w:iCs/>
          <w:noProof/>
          <w:color w:val="000000" w:themeColor="text1"/>
        </w:rPr>
        <w:t xml:space="preserve">Microbiol. </w:t>
      </w:r>
      <w:r w:rsidRPr="007526EC">
        <w:rPr>
          <w:i/>
          <w:iCs/>
          <w:noProof/>
          <w:color w:val="000000" w:themeColor="text1"/>
          <w:lang w:val="it-IT"/>
        </w:rPr>
        <w:t>Spectr.</w:t>
      </w:r>
      <w:r w:rsidRPr="007526EC">
        <w:rPr>
          <w:noProof/>
          <w:color w:val="000000" w:themeColor="text1"/>
          <w:lang w:val="it-IT"/>
        </w:rPr>
        <w:t xml:space="preserve"> </w:t>
      </w:r>
      <w:r w:rsidRPr="007526EC">
        <w:rPr>
          <w:b/>
          <w:bCs/>
          <w:noProof/>
          <w:color w:val="000000" w:themeColor="text1"/>
          <w:lang w:val="it-IT"/>
        </w:rPr>
        <w:t>2024</w:t>
      </w:r>
      <w:r w:rsidRPr="007526EC">
        <w:rPr>
          <w:noProof/>
          <w:color w:val="000000" w:themeColor="text1"/>
          <w:lang w:val="it-IT"/>
        </w:rPr>
        <w:t xml:space="preserve">, </w:t>
      </w:r>
      <w:r w:rsidRPr="007526EC">
        <w:rPr>
          <w:i/>
          <w:iCs/>
          <w:noProof/>
          <w:color w:val="000000" w:themeColor="text1"/>
          <w:lang w:val="it-IT"/>
        </w:rPr>
        <w:t>12</w:t>
      </w:r>
      <w:r w:rsidRPr="007526EC">
        <w:rPr>
          <w:noProof/>
          <w:color w:val="000000" w:themeColor="text1"/>
          <w:lang w:val="it-IT"/>
        </w:rPr>
        <w:t>, e0069024</w:t>
      </w:r>
    </w:p>
    <w:p w14:paraId="42BE654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lang w:val="it-IT"/>
        </w:rPr>
      </w:pPr>
      <w:r w:rsidRPr="007526EC">
        <w:rPr>
          <w:noProof/>
          <w:color w:val="000000" w:themeColor="text1"/>
          <w:lang w:val="it-IT"/>
        </w:rPr>
        <w:t>[43]</w:t>
      </w:r>
      <w:r w:rsidRPr="007526EC">
        <w:rPr>
          <w:noProof/>
          <w:color w:val="000000" w:themeColor="text1"/>
          <w:lang w:val="it-IT"/>
        </w:rPr>
        <w:tab/>
        <w:t xml:space="preserve">M. D. Caverzán, L. Beaugé, P. M. Oliveda, B. Cesca González, E. M. Bühler, L. E. Ibarra, </w:t>
      </w:r>
      <w:r w:rsidRPr="007526EC">
        <w:rPr>
          <w:i/>
          <w:iCs/>
          <w:noProof/>
          <w:color w:val="000000" w:themeColor="text1"/>
          <w:lang w:val="it-IT"/>
        </w:rPr>
        <w:t>Brain Sci.</w:t>
      </w:r>
      <w:r w:rsidRPr="007526EC">
        <w:rPr>
          <w:noProof/>
          <w:color w:val="000000" w:themeColor="text1"/>
          <w:lang w:val="it-IT"/>
        </w:rPr>
        <w:t xml:space="preserve"> </w:t>
      </w:r>
      <w:r w:rsidRPr="007526EC">
        <w:rPr>
          <w:b/>
          <w:bCs/>
          <w:noProof/>
          <w:color w:val="000000" w:themeColor="text1"/>
          <w:lang w:val="it-IT"/>
        </w:rPr>
        <w:t>2023</w:t>
      </w:r>
      <w:r w:rsidRPr="007526EC">
        <w:rPr>
          <w:noProof/>
          <w:color w:val="000000" w:themeColor="text1"/>
          <w:lang w:val="it-IT"/>
        </w:rPr>
        <w:t xml:space="preserve">, </w:t>
      </w:r>
      <w:r w:rsidRPr="007526EC">
        <w:rPr>
          <w:i/>
          <w:iCs/>
          <w:noProof/>
          <w:color w:val="000000" w:themeColor="text1"/>
          <w:lang w:val="it-IT"/>
        </w:rPr>
        <w:t>13</w:t>
      </w:r>
      <w:r w:rsidRPr="007526EC">
        <w:rPr>
          <w:noProof/>
          <w:color w:val="000000" w:themeColor="text1"/>
          <w:lang w:val="it-IT"/>
        </w:rPr>
        <w:t xml:space="preserve">, DOI 10.3390/brainsci13040542., </w:t>
      </w:r>
      <w:hyperlink r:id="rId50" w:tgtFrame="_blank" w:history="1">
        <w:r w:rsidRPr="007526EC">
          <w:rPr>
            <w:rStyle w:val="Hyperlink"/>
            <w:color w:val="000000" w:themeColor="text1"/>
            <w:lang w:val="it-IT"/>
          </w:rPr>
          <w:t xml:space="preserve">10.1128/spectrum.00690-24. </w:t>
        </w:r>
      </w:hyperlink>
      <w:r w:rsidRPr="007526EC">
        <w:rPr>
          <w:noProof/>
          <w:color w:val="000000" w:themeColor="text1"/>
          <w:lang w:val="it-IT"/>
        </w:rPr>
        <w:t xml:space="preserve"> </w:t>
      </w:r>
    </w:p>
    <w:p w14:paraId="1D4156FA"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[44]</w:t>
      </w:r>
      <w:r w:rsidRPr="007526EC">
        <w:rPr>
          <w:noProof/>
          <w:color w:val="000000" w:themeColor="text1"/>
        </w:rPr>
        <w:tab/>
        <w:t xml:space="preserve">M. K. Marway, D. Bhagentsang, C. Venugopal, S. K. Singh, R. G. Wylie, B. Zhang, Crossing Barriers: In Vitro Cancer Model for Studying Monocyte Migration across Endothelial Barriers, </w:t>
      </w:r>
      <w:r w:rsidRPr="007526EC">
        <w:rPr>
          <w:i/>
          <w:iCs/>
          <w:noProof/>
          <w:color w:val="000000" w:themeColor="text1"/>
        </w:rPr>
        <w:t>ACS Biomater. Sci. Eng.</w:t>
      </w:r>
      <w:r w:rsidRPr="007526EC">
        <w:rPr>
          <w:iCs/>
          <w:noProof/>
          <w:color w:val="000000" w:themeColor="text1"/>
        </w:rPr>
        <w:t>, (2025)</w:t>
      </w:r>
      <w:r w:rsidRPr="007526EC">
        <w:rPr>
          <w:noProof/>
          <w:color w:val="000000" w:themeColor="text1"/>
        </w:rPr>
        <w:t xml:space="preserve">, </w:t>
      </w:r>
      <w:r w:rsidRPr="007526EC">
        <w:rPr>
          <w:color w:val="000000" w:themeColor="text1"/>
        </w:rPr>
        <w:t>10.1021/acsbiomaterials.5c00783.</w:t>
      </w:r>
    </w:p>
    <w:p w14:paraId="6EB26F09"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[45]</w:t>
      </w:r>
      <w:r w:rsidRPr="007526EC">
        <w:rPr>
          <w:noProof/>
          <w:color w:val="000000" w:themeColor="text1"/>
        </w:rPr>
        <w:tab/>
        <w:t xml:space="preserve">C. Xu, M. Xiao, X. Li, L. Xin, J. Song, Q. Zhan, C. Wang, Q. Zhang, X. Yuan, Y. Tan, C. Fang, </w:t>
      </w:r>
      <w:r w:rsidRPr="007526EC">
        <w:rPr>
          <w:color w:val="000000" w:themeColor="text1"/>
        </w:rPr>
        <w:t xml:space="preserve">Origin, activation, and targeted therapy of glioma-associated macrophages, </w:t>
      </w:r>
      <w:r w:rsidRPr="007526EC">
        <w:rPr>
          <w:i/>
          <w:iCs/>
          <w:noProof/>
          <w:color w:val="000000" w:themeColor="text1"/>
        </w:rPr>
        <w:t xml:space="preserve">Front. Immunol., </w:t>
      </w:r>
      <w:r w:rsidRPr="007526EC">
        <w:rPr>
          <w:color w:val="000000" w:themeColor="text1"/>
        </w:rPr>
        <w:t xml:space="preserve">6, (2022) 13:974996, </w:t>
      </w:r>
      <w:hyperlink r:id="rId51" w:tgtFrame="_blank" w:history="1">
        <w:r w:rsidRPr="007526EC">
          <w:rPr>
            <w:rStyle w:val="Hyperlink"/>
            <w:color w:val="000000" w:themeColor="text1"/>
          </w:rPr>
          <w:t>10.3389/fimmu.2022.974996</w:t>
        </w:r>
      </w:hyperlink>
      <w:r w:rsidRPr="007526EC">
        <w:rPr>
          <w:color w:val="000000" w:themeColor="text1"/>
        </w:rPr>
        <w:t xml:space="preserve">. </w:t>
      </w:r>
    </w:p>
    <w:p w14:paraId="4E5AB1A4"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[46]</w:t>
      </w:r>
      <w:r w:rsidRPr="007526EC">
        <w:rPr>
          <w:noProof/>
          <w:color w:val="000000" w:themeColor="text1"/>
        </w:rPr>
        <w:tab/>
        <w:t xml:space="preserve">K. Linnavuori, T. Hovi, </w:t>
      </w:r>
      <w:r w:rsidRPr="007526EC">
        <w:rPr>
          <w:color w:val="000000" w:themeColor="text1"/>
        </w:rPr>
        <w:t>Restricted replication of herpes simplex virus in human monocyte cultures: role of interferon,</w:t>
      </w:r>
      <w:r w:rsidRPr="007526EC">
        <w:rPr>
          <w:noProof/>
          <w:color w:val="000000" w:themeColor="text1"/>
        </w:rPr>
        <w:t xml:space="preserve"> </w:t>
      </w:r>
      <w:r w:rsidRPr="007526EC">
        <w:rPr>
          <w:i/>
          <w:iCs/>
          <w:noProof/>
          <w:color w:val="000000" w:themeColor="text1"/>
        </w:rPr>
        <w:t>Virology</w:t>
      </w:r>
      <w:r w:rsidRPr="007526EC">
        <w:rPr>
          <w:noProof/>
          <w:color w:val="000000" w:themeColor="text1"/>
        </w:rPr>
        <w:t xml:space="preserve">, </w:t>
      </w:r>
      <w:r w:rsidRPr="007526EC">
        <w:rPr>
          <w:color w:val="000000" w:themeColor="text1"/>
        </w:rPr>
        <w:t xml:space="preserve">5, (1983) 130(1):1-9, </w:t>
      </w:r>
      <w:hyperlink r:id="rId52" w:tgtFrame="_blank" w:history="1">
        <w:r w:rsidRPr="007526EC">
          <w:rPr>
            <w:rStyle w:val="Hyperlink"/>
            <w:color w:val="000000" w:themeColor="text1"/>
          </w:rPr>
          <w:t xml:space="preserve">10.1016/0042-6822(83)90112-5. </w:t>
        </w:r>
      </w:hyperlink>
    </w:p>
    <w:p w14:paraId="085DC6B6"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[47]</w:t>
      </w:r>
      <w:r w:rsidRPr="007526EC">
        <w:rPr>
          <w:noProof/>
          <w:color w:val="000000" w:themeColor="text1"/>
        </w:rPr>
        <w:tab/>
        <w:t xml:space="preserve">F. H. N. Howard, H. Al-Janabi, et al., </w:t>
      </w:r>
      <w:r w:rsidRPr="007526EC">
        <w:rPr>
          <w:rStyle w:val="articletitle"/>
          <w:color w:val="000000" w:themeColor="text1"/>
        </w:rPr>
        <w:t>Nanobugs as Drugs: Bacterial Derived Nanomagnets Enhance Tumor Targeting and Oncolytic Activity of HSV-1 Virus,</w:t>
      </w:r>
      <w:r w:rsidRPr="007526EC">
        <w:rPr>
          <w:noProof/>
          <w:color w:val="000000" w:themeColor="text1"/>
        </w:rPr>
        <w:t xml:space="preserve"> </w:t>
      </w:r>
      <w:r w:rsidRPr="007526EC">
        <w:rPr>
          <w:i/>
          <w:iCs/>
          <w:noProof/>
          <w:color w:val="000000" w:themeColor="text1"/>
        </w:rPr>
        <w:t>Small,</w:t>
      </w:r>
      <w:r w:rsidRPr="007526EC">
        <w:rPr>
          <w:noProof/>
          <w:color w:val="000000" w:themeColor="text1"/>
        </w:rPr>
        <w:t xml:space="preserve"> </w:t>
      </w:r>
      <w:r w:rsidRPr="007526EC">
        <w:rPr>
          <w:i/>
          <w:iCs/>
          <w:noProof/>
          <w:color w:val="000000" w:themeColor="text1"/>
        </w:rPr>
        <w:t>18</w:t>
      </w:r>
      <w:r w:rsidRPr="007526EC">
        <w:rPr>
          <w:noProof/>
          <w:color w:val="000000" w:themeColor="text1"/>
        </w:rPr>
        <w:t xml:space="preserve">, (2022) 2104763, </w:t>
      </w:r>
      <w:hyperlink r:id="rId53" w:history="1">
        <w:r w:rsidRPr="007526EC">
          <w:rPr>
            <w:rStyle w:val="Hyperlink"/>
            <w:color w:val="000000" w:themeColor="text1"/>
          </w:rPr>
          <w:t>https://doi.org/10.1002/smll.202104763</w:t>
        </w:r>
      </w:hyperlink>
      <w:r w:rsidRPr="007526EC">
        <w:rPr>
          <w:noProof/>
          <w:color w:val="000000" w:themeColor="text1"/>
        </w:rPr>
        <w:t>.</w:t>
      </w:r>
    </w:p>
    <w:p w14:paraId="109CD756"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[48]</w:t>
      </w:r>
      <w:r w:rsidRPr="007526EC">
        <w:rPr>
          <w:noProof/>
          <w:color w:val="000000" w:themeColor="text1"/>
        </w:rPr>
        <w:tab/>
        <w:t xml:space="preserve">M. Luo, L. K. C. Lee, B. Peng, C. H. J. Choi, W. Y. Tong, N. H. Voelcker, </w:t>
      </w:r>
      <w:r w:rsidRPr="007526EC">
        <w:rPr>
          <w:color w:val="000000" w:themeColor="text1"/>
        </w:rPr>
        <w:t xml:space="preserve">Delivering the Promise of Gene Therapy with Nanomedicines in Treating Central Nervous System Diseases, </w:t>
      </w:r>
      <w:r w:rsidRPr="007526EC">
        <w:rPr>
          <w:i/>
          <w:iCs/>
          <w:noProof/>
          <w:color w:val="000000" w:themeColor="text1"/>
        </w:rPr>
        <w:t>Adv. Sci.</w:t>
      </w:r>
      <w:r w:rsidRPr="007526EC">
        <w:rPr>
          <w:noProof/>
          <w:color w:val="000000" w:themeColor="text1"/>
        </w:rPr>
        <w:t xml:space="preserve">, </w:t>
      </w:r>
      <w:r w:rsidRPr="007526EC">
        <w:rPr>
          <w:i/>
          <w:iCs/>
          <w:noProof/>
          <w:color w:val="000000" w:themeColor="text1"/>
        </w:rPr>
        <w:t>9</w:t>
      </w:r>
      <w:r w:rsidRPr="007526EC">
        <w:rPr>
          <w:noProof/>
          <w:color w:val="000000" w:themeColor="text1"/>
        </w:rPr>
        <w:t xml:space="preserve">(26), (2022) 2201740, </w:t>
      </w:r>
      <w:hyperlink r:id="rId54" w:tgtFrame="_blank" w:history="1">
        <w:r w:rsidRPr="007526EC">
          <w:rPr>
            <w:rStyle w:val="Hyperlink"/>
            <w:color w:val="000000" w:themeColor="text1"/>
          </w:rPr>
          <w:t xml:space="preserve">10.1002/advs.202201740. </w:t>
        </w:r>
      </w:hyperlink>
    </w:p>
    <w:p w14:paraId="6BFDBFF4"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[49]</w:t>
      </w:r>
      <w:r w:rsidRPr="007526EC">
        <w:rPr>
          <w:noProof/>
          <w:color w:val="000000" w:themeColor="text1"/>
        </w:rPr>
        <w:tab/>
        <w:t xml:space="preserve">L. K. C. Lee, L. I. Leong, Y. Liu, M. Luo, H. Y. E. Chan, C. H. J. Choi, </w:t>
      </w:r>
      <w:r w:rsidRPr="007526EC">
        <w:rPr>
          <w:color w:val="000000" w:themeColor="text1"/>
        </w:rPr>
        <w:t xml:space="preserve">Preclinical Nanomedicines for Polyglutamine-Based Neurodegenerative Diseases, </w:t>
      </w:r>
      <w:r w:rsidRPr="007526EC">
        <w:rPr>
          <w:i/>
          <w:iCs/>
          <w:noProof/>
          <w:color w:val="000000" w:themeColor="text1"/>
        </w:rPr>
        <w:t>Mol. Pharm.</w:t>
      </w:r>
      <w:r w:rsidRPr="007526EC">
        <w:rPr>
          <w:noProof/>
          <w:color w:val="000000" w:themeColor="text1"/>
        </w:rPr>
        <w:t>,</w:t>
      </w:r>
      <w:r w:rsidRPr="007526EC">
        <w:rPr>
          <w:color w:val="000000" w:themeColor="text1"/>
        </w:rPr>
        <w:t xml:space="preserve"> 18(2), (2021) 610-626, </w:t>
      </w:r>
      <w:hyperlink r:id="rId55" w:tgtFrame="_blank" w:history="1">
        <w:r w:rsidRPr="007526EC">
          <w:rPr>
            <w:rStyle w:val="Hyperlink"/>
            <w:color w:val="000000" w:themeColor="text1"/>
          </w:rPr>
          <w:t xml:space="preserve">10.1021/acs.molpharmaceut.0c00506. </w:t>
        </w:r>
      </w:hyperlink>
    </w:p>
    <w:p w14:paraId="00B9D8F3"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[50]</w:t>
      </w:r>
      <w:r w:rsidRPr="007526EC">
        <w:rPr>
          <w:noProof/>
          <w:color w:val="000000" w:themeColor="text1"/>
        </w:rPr>
        <w:tab/>
        <w:t xml:space="preserve">B.-Z. Qian, J. Li, H. Zhang, T. Kitamura, J. Zhang, L. R. Campion, E. A. Kaiser, L. A. Snyder, J. W. Pollard, </w:t>
      </w:r>
      <w:r w:rsidRPr="007526EC">
        <w:rPr>
          <w:color w:val="000000" w:themeColor="text1"/>
        </w:rPr>
        <w:t xml:space="preserve">CCL2 recruits inflammatory monocytes to facilitate breast-tumour metastasis, </w:t>
      </w:r>
      <w:r w:rsidRPr="007526EC">
        <w:rPr>
          <w:noProof/>
          <w:color w:val="000000" w:themeColor="text1"/>
        </w:rPr>
        <w:t xml:space="preserve"> </w:t>
      </w:r>
      <w:r w:rsidRPr="007526EC">
        <w:rPr>
          <w:i/>
          <w:iCs/>
          <w:noProof/>
          <w:color w:val="000000" w:themeColor="text1"/>
        </w:rPr>
        <w:t>Nature</w:t>
      </w:r>
      <w:r w:rsidRPr="007526EC">
        <w:rPr>
          <w:noProof/>
          <w:color w:val="000000" w:themeColor="text1"/>
        </w:rPr>
        <w:t xml:space="preserve">, </w:t>
      </w:r>
      <w:r w:rsidRPr="007526EC">
        <w:rPr>
          <w:color w:val="000000" w:themeColor="text1"/>
        </w:rPr>
        <w:t xml:space="preserve">8, (2011) 475(7355):222-5, </w:t>
      </w:r>
      <w:hyperlink r:id="rId56" w:tgtFrame="_blank" w:history="1">
        <w:r w:rsidRPr="007526EC">
          <w:rPr>
            <w:rStyle w:val="Hyperlink"/>
            <w:color w:val="000000" w:themeColor="text1"/>
          </w:rPr>
          <w:t xml:space="preserve">10.1038/nature10138.  </w:t>
        </w:r>
      </w:hyperlink>
    </w:p>
    <w:p w14:paraId="74C48591"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[51]</w:t>
      </w:r>
      <w:r w:rsidRPr="007526EC">
        <w:rPr>
          <w:noProof/>
          <w:color w:val="000000" w:themeColor="text1"/>
        </w:rPr>
        <w:tab/>
        <w:t xml:space="preserve">P. Trionfini, E. Romano, et al., </w:t>
      </w:r>
      <w:r w:rsidRPr="007526EC">
        <w:rPr>
          <w:color w:val="000000" w:themeColor="text1"/>
        </w:rPr>
        <w:t xml:space="preserve">Hypoimmunogenic Human Pluripotent Stem Cells as a Powerful Tool for Liver Regenerative Medicine, </w:t>
      </w:r>
      <w:r w:rsidRPr="007526EC">
        <w:rPr>
          <w:i/>
          <w:iCs/>
          <w:noProof/>
          <w:color w:val="000000" w:themeColor="text1"/>
        </w:rPr>
        <w:t>Int. J. Mol. Sci.</w:t>
      </w:r>
      <w:r w:rsidRPr="007526EC">
        <w:rPr>
          <w:noProof/>
          <w:color w:val="000000" w:themeColor="text1"/>
        </w:rPr>
        <w:t xml:space="preserve">, </w:t>
      </w:r>
      <w:r w:rsidRPr="007526EC">
        <w:rPr>
          <w:i/>
          <w:iCs/>
          <w:noProof/>
          <w:color w:val="000000" w:themeColor="text1"/>
        </w:rPr>
        <w:t>24</w:t>
      </w:r>
      <w:r w:rsidRPr="007526EC">
        <w:rPr>
          <w:noProof/>
          <w:color w:val="000000" w:themeColor="text1"/>
        </w:rPr>
        <w:t>, (2023)</w:t>
      </w:r>
      <w:r w:rsidRPr="007526EC">
        <w:rPr>
          <w:color w:val="000000" w:themeColor="text1"/>
        </w:rPr>
        <w:t xml:space="preserve"> 11810,</w:t>
      </w:r>
      <w:r w:rsidRPr="007526EC">
        <w:rPr>
          <w:noProof/>
          <w:color w:val="000000" w:themeColor="text1"/>
        </w:rPr>
        <w:t xml:space="preserve"> </w:t>
      </w:r>
      <w:hyperlink r:id="rId57" w:history="1">
        <w:r w:rsidRPr="007526EC">
          <w:rPr>
            <w:rStyle w:val="Hyperlink"/>
            <w:color w:val="000000" w:themeColor="text1"/>
          </w:rPr>
          <w:t>https://doi.org/10.3390/ijms241411810</w:t>
        </w:r>
      </w:hyperlink>
      <w:r w:rsidRPr="007526EC">
        <w:rPr>
          <w:color w:val="000000" w:themeColor="text1"/>
        </w:rPr>
        <w:t xml:space="preserve">. </w:t>
      </w:r>
      <w:r w:rsidRPr="007526EC">
        <w:rPr>
          <w:noProof/>
          <w:color w:val="000000" w:themeColor="text1"/>
        </w:rPr>
        <w:t xml:space="preserve"> </w:t>
      </w:r>
    </w:p>
    <w:p w14:paraId="3244FAB9"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[52]</w:t>
      </w:r>
      <w:r w:rsidRPr="007526EC">
        <w:rPr>
          <w:noProof/>
          <w:color w:val="000000" w:themeColor="text1"/>
        </w:rPr>
        <w:tab/>
        <w:t xml:space="preserve">T. S. Park, R. Hirday, R. Quinn, S. P. Jacob, R. A. Feldman, D. Bose, R. Sharma, K. Bharti, </w:t>
      </w:r>
      <w:r w:rsidRPr="007526EC">
        <w:rPr>
          <w:color w:val="000000" w:themeColor="text1"/>
        </w:rPr>
        <w:t xml:space="preserve">Differentiation of monocytes and polarized M1/M2 macrophages from human induced pluripotent stem cells, </w:t>
      </w:r>
      <w:r w:rsidRPr="007526EC">
        <w:rPr>
          <w:i/>
          <w:iCs/>
          <w:noProof/>
          <w:color w:val="000000" w:themeColor="text1"/>
        </w:rPr>
        <w:t xml:space="preserve">STAR Protoc., </w:t>
      </w:r>
      <w:r w:rsidRPr="007526EC">
        <w:rPr>
          <w:color w:val="000000" w:themeColor="text1"/>
        </w:rPr>
        <w:t xml:space="preserve">5(1), (2024) 102827, </w:t>
      </w:r>
      <w:hyperlink r:id="rId58" w:tgtFrame="_blank" w:history="1">
        <w:r w:rsidRPr="007526EC">
          <w:rPr>
            <w:rStyle w:val="Hyperlink"/>
            <w:color w:val="000000" w:themeColor="text1"/>
          </w:rPr>
          <w:t>10.1016/j.xpro.2023.102827</w:t>
        </w:r>
      </w:hyperlink>
      <w:r w:rsidRPr="007526EC">
        <w:rPr>
          <w:color w:val="000000" w:themeColor="text1"/>
        </w:rPr>
        <w:t>.</w:t>
      </w:r>
    </w:p>
    <w:p w14:paraId="1B535191"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[53]</w:t>
      </w:r>
      <w:r w:rsidRPr="007526EC">
        <w:rPr>
          <w:noProof/>
          <w:color w:val="000000" w:themeColor="text1"/>
        </w:rPr>
        <w:tab/>
        <w:t xml:space="preserve">Y. Xia, G. M. Whitesides, </w:t>
      </w:r>
      <w:r w:rsidRPr="007526EC">
        <w:rPr>
          <w:color w:val="000000" w:themeColor="text1"/>
        </w:rPr>
        <w:t xml:space="preserve">Soft Lithography, </w:t>
      </w:r>
      <w:r w:rsidRPr="007526EC">
        <w:rPr>
          <w:i/>
          <w:iCs/>
          <w:noProof/>
          <w:color w:val="000000" w:themeColor="text1"/>
        </w:rPr>
        <w:t>Angew. Chem., Int. Ed. Engl.</w:t>
      </w:r>
      <w:r w:rsidRPr="007526EC">
        <w:rPr>
          <w:noProof/>
          <w:color w:val="000000" w:themeColor="text1"/>
        </w:rPr>
        <w:t xml:space="preserve">, </w:t>
      </w:r>
      <w:r w:rsidRPr="007526EC">
        <w:rPr>
          <w:i/>
          <w:iCs/>
          <w:noProof/>
          <w:color w:val="000000" w:themeColor="text1"/>
        </w:rPr>
        <w:t>37</w:t>
      </w:r>
      <w:r w:rsidRPr="007526EC">
        <w:rPr>
          <w:noProof/>
          <w:color w:val="000000" w:themeColor="text1"/>
        </w:rPr>
        <w:t>, (1998) 550-575,</w:t>
      </w:r>
      <w:r w:rsidRPr="007526EC">
        <w:rPr>
          <w:color w:val="000000" w:themeColor="text1"/>
        </w:rPr>
        <w:t>https://doi.org/10.1002/(SICI)1521-3773(19980316)37:5&lt;550::AIDANIE550&gt;3.0.CO;2-G</w:t>
      </w:r>
      <w:r w:rsidRPr="007526EC">
        <w:rPr>
          <w:noProof/>
          <w:color w:val="000000" w:themeColor="text1"/>
        </w:rPr>
        <w:t>.</w:t>
      </w:r>
    </w:p>
    <w:p w14:paraId="666CF0A7"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[54]</w:t>
      </w:r>
      <w:r w:rsidRPr="007526EC">
        <w:rPr>
          <w:noProof/>
          <w:color w:val="000000" w:themeColor="text1"/>
        </w:rPr>
        <w:tab/>
        <w:t xml:space="preserve">B. Peng, Z. Tong, W. Y. Tong, P. J. Pasic, A. Oddo, Y. Dai, M. Luo, J. Frescene, N. G. Welch, </w:t>
      </w:r>
      <w:r w:rsidRPr="007526EC">
        <w:rPr>
          <w:noProof/>
          <w:color w:val="000000" w:themeColor="text1"/>
        </w:rPr>
        <w:lastRenderedPageBreak/>
        <w:t xml:space="preserve">C. D. Easton, H. Thissen, N. H. Voelcker, </w:t>
      </w:r>
      <w:r w:rsidRPr="007526EC">
        <w:rPr>
          <w:i/>
          <w:iCs/>
          <w:color w:val="000000" w:themeColor="text1"/>
        </w:rPr>
        <w:t>In Situ</w:t>
      </w:r>
      <w:r w:rsidRPr="007526EC">
        <w:rPr>
          <w:color w:val="000000" w:themeColor="text1"/>
        </w:rPr>
        <w:t xml:space="preserve"> Surface Modification of Microfluidic Blood-Brain-Barriers for Improved Screening of Small Molecules and Nanoparticles, </w:t>
      </w:r>
      <w:r w:rsidRPr="007526EC">
        <w:rPr>
          <w:i/>
          <w:iCs/>
          <w:noProof/>
          <w:color w:val="000000" w:themeColor="text1"/>
        </w:rPr>
        <w:t>ACS Appl. Mater. Interfaces</w:t>
      </w:r>
      <w:r w:rsidRPr="007526EC">
        <w:rPr>
          <w:noProof/>
          <w:color w:val="000000" w:themeColor="text1"/>
        </w:rPr>
        <w:t xml:space="preserve">, </w:t>
      </w:r>
      <w:r w:rsidRPr="007526EC">
        <w:rPr>
          <w:color w:val="000000" w:themeColor="text1"/>
        </w:rPr>
        <w:t xml:space="preserve">12(51), (2020) 56753-56766, </w:t>
      </w:r>
      <w:hyperlink r:id="rId59" w:tgtFrame="_blank" w:history="1">
        <w:r w:rsidRPr="007526EC">
          <w:rPr>
            <w:rStyle w:val="Hyperlink"/>
            <w:color w:val="000000" w:themeColor="text1"/>
          </w:rPr>
          <w:t xml:space="preserve">10.1021/acsami.0c17102.  </w:t>
        </w:r>
      </w:hyperlink>
    </w:p>
    <w:p w14:paraId="7C5933B8"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[55]</w:t>
      </w:r>
      <w:r w:rsidRPr="007526EC">
        <w:rPr>
          <w:noProof/>
          <w:color w:val="000000" w:themeColor="text1"/>
        </w:rPr>
        <w:tab/>
        <w:t xml:space="preserve">W. Y. Chan, Y. Ding, J. Y. Tu, Modeling of non-Newtonian blood flow through a stenosed artery incorporeting fluid-structure interaction, </w:t>
      </w:r>
      <w:r w:rsidRPr="007526EC">
        <w:rPr>
          <w:i/>
          <w:iCs/>
          <w:noProof/>
          <w:color w:val="000000" w:themeColor="text1"/>
        </w:rPr>
        <w:t>Proc. 7th Bienn. Eng. Math. Appl. Conf. EMAC-2005</w:t>
      </w:r>
      <w:r w:rsidRPr="007526EC">
        <w:rPr>
          <w:noProof/>
          <w:color w:val="000000" w:themeColor="text1"/>
        </w:rPr>
        <w:t>, (</w:t>
      </w:r>
      <w:r w:rsidRPr="007526EC">
        <w:rPr>
          <w:bCs/>
          <w:noProof/>
          <w:color w:val="000000" w:themeColor="text1"/>
        </w:rPr>
        <w:t>2007)</w:t>
      </w:r>
      <w:r w:rsidRPr="007526EC">
        <w:rPr>
          <w:noProof/>
          <w:color w:val="000000" w:themeColor="text1"/>
        </w:rPr>
        <w:t xml:space="preserve">, C507-C523, </w:t>
      </w:r>
      <w:r w:rsidRPr="007526EC">
        <w:rPr>
          <w:rStyle w:val="value"/>
          <w:color w:val="000000" w:themeColor="text1"/>
        </w:rPr>
        <w:t xml:space="preserve">https://doi.org/10.21914/anziamj.v47i0.1059.  </w:t>
      </w:r>
    </w:p>
    <w:p w14:paraId="0522201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[56]</w:t>
      </w:r>
      <w:r w:rsidRPr="007526EC">
        <w:rPr>
          <w:noProof/>
          <w:color w:val="000000" w:themeColor="text1"/>
        </w:rPr>
        <w:tab/>
        <w:t xml:space="preserve">S. Micheli, P. Mocellin, M. Sorgato, L. Bova, E. Cimetta, Modeling-based design specifications for microfluidic gradients generators for biomedical applications, </w:t>
      </w:r>
      <w:r w:rsidRPr="007526EC">
        <w:rPr>
          <w:i/>
          <w:iCs/>
          <w:noProof/>
          <w:color w:val="000000" w:themeColor="text1"/>
        </w:rPr>
        <w:t>Biochem. Eng. J.</w:t>
      </w:r>
      <w:r w:rsidRPr="007526EC">
        <w:rPr>
          <w:noProof/>
          <w:color w:val="000000" w:themeColor="text1"/>
        </w:rPr>
        <w:t xml:space="preserve">, </w:t>
      </w:r>
      <w:r w:rsidRPr="007526EC">
        <w:rPr>
          <w:i/>
          <w:iCs/>
          <w:noProof/>
          <w:color w:val="000000" w:themeColor="text1"/>
        </w:rPr>
        <w:t>181</w:t>
      </w:r>
      <w:r w:rsidRPr="007526EC">
        <w:rPr>
          <w:noProof/>
          <w:color w:val="000000" w:themeColor="text1"/>
        </w:rPr>
        <w:t>, (2022) 108415, https://doi.org/10.1016/j.bej.2022.108415.</w:t>
      </w:r>
    </w:p>
    <w:p w14:paraId="0936E58F"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[57]</w:t>
      </w:r>
      <w:r w:rsidRPr="007526EC">
        <w:rPr>
          <w:noProof/>
          <w:color w:val="000000" w:themeColor="text1"/>
        </w:rPr>
        <w:tab/>
        <w:t xml:space="preserve">V. Zingales, C. Piunti, S. Micheli, E. Cimetta, M.-J. Ruiz, </w:t>
      </w:r>
      <w:r w:rsidRPr="007526EC">
        <w:rPr>
          <w:color w:val="000000" w:themeColor="text1"/>
        </w:rPr>
        <w:t xml:space="preserve">Development of an Easy-To-Use Microfluidic System to Assess Dynamic Exposure to Mycotoxins in 3D Culture Models: Evaluation of Ochratoxin A and Patulin Cytotoxicity, </w:t>
      </w:r>
      <w:r w:rsidRPr="007526EC">
        <w:rPr>
          <w:i/>
          <w:iCs/>
          <w:noProof/>
          <w:color w:val="000000" w:themeColor="text1"/>
        </w:rPr>
        <w:t>Foods</w:t>
      </w:r>
      <w:r w:rsidRPr="007526EC">
        <w:rPr>
          <w:noProof/>
          <w:color w:val="000000" w:themeColor="text1"/>
        </w:rPr>
        <w:t xml:space="preserve">, </w:t>
      </w:r>
      <w:r w:rsidRPr="007526EC">
        <w:rPr>
          <w:rStyle w:val="Emphasis"/>
          <w:color w:val="000000" w:themeColor="text1"/>
        </w:rPr>
        <w:t>13</w:t>
      </w:r>
      <w:r w:rsidRPr="007526EC">
        <w:rPr>
          <w:color w:val="000000" w:themeColor="text1"/>
        </w:rPr>
        <w:t>(24), (2024) 4167</w:t>
      </w:r>
      <w:r w:rsidRPr="007526EC">
        <w:rPr>
          <w:noProof/>
          <w:color w:val="000000" w:themeColor="text1"/>
        </w:rPr>
        <w:t xml:space="preserve"> </w:t>
      </w:r>
      <w:hyperlink r:id="rId60" w:history="1">
        <w:r w:rsidRPr="007526EC">
          <w:rPr>
            <w:rStyle w:val="Hyperlink"/>
            <w:color w:val="000000" w:themeColor="text1"/>
          </w:rPr>
          <w:t>https://doi.org/10.3390/foods13244167</w:t>
        </w:r>
      </w:hyperlink>
      <w:r w:rsidRPr="007526EC">
        <w:rPr>
          <w:color w:val="000000" w:themeColor="text1"/>
        </w:rPr>
        <w:t xml:space="preserve">. </w:t>
      </w:r>
    </w:p>
    <w:p w14:paraId="1A115D71"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[58]</w:t>
      </w:r>
      <w:r w:rsidRPr="007526EC">
        <w:rPr>
          <w:noProof/>
          <w:color w:val="000000" w:themeColor="text1"/>
        </w:rPr>
        <w:tab/>
        <w:t>F. Piccinini, A</w:t>
      </w:r>
      <w:r w:rsidRPr="007526EC">
        <w:rPr>
          <w:color w:val="000000" w:themeColor="text1"/>
        </w:rPr>
        <w:t xml:space="preserve">naSP: a software suite for automatic image analysis of multicellular spheroids, </w:t>
      </w:r>
      <w:r w:rsidRPr="007526EC">
        <w:rPr>
          <w:i/>
          <w:iCs/>
          <w:noProof/>
          <w:color w:val="000000" w:themeColor="text1"/>
        </w:rPr>
        <w:t>Comput. Methods Programs Biomed.</w:t>
      </w:r>
      <w:r w:rsidRPr="007526EC">
        <w:rPr>
          <w:noProof/>
          <w:color w:val="000000" w:themeColor="text1"/>
        </w:rPr>
        <w:t xml:space="preserve">, </w:t>
      </w:r>
      <w:r w:rsidRPr="007526EC">
        <w:rPr>
          <w:color w:val="000000" w:themeColor="text1"/>
        </w:rPr>
        <w:t>119(1), (2015) 43-52</w:t>
      </w:r>
      <w:r w:rsidRPr="007526EC">
        <w:rPr>
          <w:noProof/>
          <w:color w:val="000000" w:themeColor="text1"/>
        </w:rPr>
        <w:t xml:space="preserve">, </w:t>
      </w:r>
      <w:hyperlink r:id="rId61" w:tgtFrame="_blank" w:history="1">
        <w:r w:rsidRPr="007526EC">
          <w:rPr>
            <w:rStyle w:val="Hyperlink"/>
            <w:color w:val="000000" w:themeColor="text1"/>
          </w:rPr>
          <w:t xml:space="preserve">10.1016/j.cmpb.2015.02.006. </w:t>
        </w:r>
      </w:hyperlink>
    </w:p>
    <w:p w14:paraId="273A7E43"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[59]</w:t>
      </w:r>
      <w:r w:rsidRPr="007526EC">
        <w:rPr>
          <w:noProof/>
          <w:color w:val="000000" w:themeColor="text1"/>
        </w:rPr>
        <w:tab/>
        <w:t xml:space="preserve">B. K. Tischer, J. von Einem, B. Kaufer, N. Osterrieder, </w:t>
      </w:r>
      <w:r w:rsidRPr="007526EC">
        <w:rPr>
          <w:color w:val="000000" w:themeColor="text1"/>
        </w:rPr>
        <w:t xml:space="preserve">Two-step red-mediated recombination for versatile high-efficiency markerless DNA manipulation in Escherichia coli, </w:t>
      </w:r>
      <w:r w:rsidRPr="007526EC">
        <w:rPr>
          <w:i/>
          <w:iCs/>
          <w:noProof/>
          <w:color w:val="000000" w:themeColor="text1"/>
        </w:rPr>
        <w:t>Biotechniques</w:t>
      </w:r>
      <w:r w:rsidRPr="007526EC">
        <w:rPr>
          <w:noProof/>
          <w:color w:val="000000" w:themeColor="text1"/>
        </w:rPr>
        <w:t xml:space="preserve">, </w:t>
      </w:r>
      <w:r w:rsidRPr="007526EC">
        <w:rPr>
          <w:color w:val="000000" w:themeColor="text1"/>
        </w:rPr>
        <w:t xml:space="preserve">40(2), (2006) 191-7, </w:t>
      </w:r>
      <w:hyperlink r:id="rId62" w:tgtFrame="_blank" w:history="1">
        <w:r w:rsidRPr="007526EC">
          <w:rPr>
            <w:rStyle w:val="Hyperlink"/>
            <w:color w:val="000000" w:themeColor="text1"/>
          </w:rPr>
          <w:t xml:space="preserve">10.2144/000112096.  </w:t>
        </w:r>
      </w:hyperlink>
    </w:p>
    <w:p w14:paraId="0A0A8B63"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[60]</w:t>
      </w:r>
      <w:r w:rsidRPr="007526EC">
        <w:rPr>
          <w:noProof/>
          <w:color w:val="000000" w:themeColor="text1"/>
        </w:rPr>
        <w:tab/>
        <w:t xml:space="preserve">A. Vitiello, A. Reale, V. Conciatori, A. Vicco, A. Garzino-Demo, G. Palù, C. Parolin, J. von Einem, A. Calistri, </w:t>
      </w:r>
      <w:r w:rsidRPr="007526EC">
        <w:rPr>
          <w:color w:val="000000" w:themeColor="text1"/>
        </w:rPr>
        <w:t xml:space="preserve">Simultaneous Expression of Different Therapeutic Genes by Infection with Multiple Oncolytic HSV-1 Vectors, </w:t>
      </w:r>
      <w:r w:rsidRPr="007526EC">
        <w:rPr>
          <w:i/>
          <w:iCs/>
          <w:noProof/>
          <w:color w:val="000000" w:themeColor="text1"/>
        </w:rPr>
        <w:t>Biomedicines</w:t>
      </w:r>
      <w:r w:rsidRPr="007526EC">
        <w:rPr>
          <w:noProof/>
          <w:color w:val="000000" w:themeColor="text1"/>
        </w:rPr>
        <w:t xml:space="preserve">, </w:t>
      </w:r>
      <w:r w:rsidRPr="007526EC">
        <w:rPr>
          <w:i/>
          <w:iCs/>
          <w:noProof/>
          <w:color w:val="000000" w:themeColor="text1"/>
        </w:rPr>
        <w:t>12</w:t>
      </w:r>
      <w:r w:rsidRPr="007526EC">
        <w:rPr>
          <w:noProof/>
          <w:color w:val="000000" w:themeColor="text1"/>
        </w:rPr>
        <w:t xml:space="preserve">, (2024) 1577, </w:t>
      </w:r>
      <w:hyperlink r:id="rId63" w:history="1">
        <w:r w:rsidRPr="007526EC">
          <w:rPr>
            <w:rStyle w:val="Hyperlink"/>
            <w:color w:val="000000" w:themeColor="text1"/>
          </w:rPr>
          <w:t>https://doi.org/10.3390/biomedicines12071577</w:t>
        </w:r>
      </w:hyperlink>
      <w:r w:rsidRPr="007526EC">
        <w:rPr>
          <w:color w:val="000000" w:themeColor="text1"/>
        </w:rPr>
        <w:t xml:space="preserve">. </w:t>
      </w:r>
    </w:p>
    <w:p w14:paraId="51920D89" w14:textId="77777777" w:rsidR="00276D28" w:rsidRPr="007526EC" w:rsidRDefault="00276D28" w:rsidP="00276D28">
      <w:pPr>
        <w:widowControl w:val="0"/>
        <w:autoSpaceDE w:val="0"/>
        <w:autoSpaceDN w:val="0"/>
        <w:adjustRightInd w:val="0"/>
        <w:spacing w:line="276" w:lineRule="auto"/>
        <w:ind w:left="640" w:hanging="640"/>
        <w:jc w:val="both"/>
        <w:rPr>
          <w:noProof/>
          <w:color w:val="000000" w:themeColor="text1"/>
        </w:rPr>
      </w:pPr>
      <w:r w:rsidRPr="007526EC">
        <w:rPr>
          <w:noProof/>
          <w:color w:val="000000" w:themeColor="text1"/>
        </w:rPr>
        <w:t>[61]</w:t>
      </w:r>
      <w:r w:rsidRPr="007526EC">
        <w:rPr>
          <w:noProof/>
          <w:color w:val="000000" w:themeColor="text1"/>
        </w:rPr>
        <w:tab/>
        <w:t xml:space="preserve">A. J. Ulmer, H. D. Flad, </w:t>
      </w:r>
      <w:r w:rsidRPr="007526EC">
        <w:rPr>
          <w:color w:val="000000" w:themeColor="text1"/>
        </w:rPr>
        <w:t xml:space="preserve">Discontinuous density gradient separation of human mononuclear leucocytes using Percoll as gradient medium, </w:t>
      </w:r>
      <w:r w:rsidRPr="007526EC">
        <w:rPr>
          <w:i/>
          <w:iCs/>
          <w:noProof/>
          <w:color w:val="000000" w:themeColor="text1"/>
        </w:rPr>
        <w:t>J. Immunol. Methods,</w:t>
      </w:r>
      <w:r w:rsidRPr="007526EC">
        <w:rPr>
          <w:noProof/>
          <w:color w:val="000000" w:themeColor="text1"/>
        </w:rPr>
        <w:t xml:space="preserve"> </w:t>
      </w:r>
      <w:r w:rsidRPr="007526EC">
        <w:rPr>
          <w:i/>
          <w:iCs/>
          <w:noProof/>
          <w:color w:val="000000" w:themeColor="text1"/>
        </w:rPr>
        <w:t>30</w:t>
      </w:r>
      <w:r w:rsidRPr="007526EC">
        <w:rPr>
          <w:noProof/>
          <w:color w:val="000000" w:themeColor="text1"/>
        </w:rPr>
        <w:t xml:space="preserve">(1), (1979) 1-10, </w:t>
      </w:r>
      <w:hyperlink r:id="rId64" w:tgtFrame="_blank" w:history="1">
        <w:r w:rsidRPr="007526EC">
          <w:rPr>
            <w:rStyle w:val="Hyperlink"/>
            <w:color w:val="000000" w:themeColor="text1"/>
          </w:rPr>
          <w:t xml:space="preserve">10.1016/0022-1759(79)90268-0.  </w:t>
        </w:r>
      </w:hyperlink>
    </w:p>
    <w:p w14:paraId="6B1E1FED" w14:textId="77777777" w:rsidR="00276D28" w:rsidRPr="007526EC" w:rsidRDefault="00276D28" w:rsidP="00276D28">
      <w:pPr>
        <w:rPr>
          <w:color w:val="000000" w:themeColor="text1"/>
        </w:rPr>
      </w:pPr>
      <w:r w:rsidRPr="007526EC">
        <w:rPr>
          <w:color w:val="000000" w:themeColor="text1"/>
        </w:rPr>
        <w:fldChar w:fldCharType="end"/>
      </w:r>
    </w:p>
    <w:p w14:paraId="000000A6" w14:textId="74232237" w:rsidR="00234C7D" w:rsidRPr="007526EC" w:rsidRDefault="00234C7D" w:rsidP="004D56B1">
      <w:pPr>
        <w:pBdr>
          <w:top w:val="nil"/>
          <w:left w:val="nil"/>
          <w:bottom w:val="nil"/>
          <w:right w:val="nil"/>
          <w:between w:val="nil"/>
        </w:pBdr>
        <w:spacing w:line="276" w:lineRule="auto"/>
        <w:jc w:val="both"/>
        <w:rPr>
          <w:color w:val="000000" w:themeColor="text1"/>
          <w:lang w:val="en-US"/>
        </w:rPr>
      </w:pPr>
    </w:p>
    <w:sectPr w:rsidR="00234C7D" w:rsidRPr="007526EC">
      <w:headerReference w:type="default" r:id="rId65"/>
      <w:footerReference w:type="default" r:id="rId66"/>
      <w:pgSz w:w="11906" w:h="16838"/>
      <w:pgMar w:top="1418"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3B443" w14:textId="77777777" w:rsidR="003A169D" w:rsidRDefault="003A169D">
      <w:r>
        <w:separator/>
      </w:r>
    </w:p>
  </w:endnote>
  <w:endnote w:type="continuationSeparator" w:id="0">
    <w:p w14:paraId="4B5EE8D7" w14:textId="77777777" w:rsidR="003A169D" w:rsidRDefault="003A16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8" w14:textId="5D6A39E4" w:rsidR="00492AEF" w:rsidRDefault="00492AEF">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17</w:t>
    </w:r>
    <w:r>
      <w:rPr>
        <w:color w:val="000000"/>
      </w:rPr>
      <w:fldChar w:fldCharType="end"/>
    </w:r>
  </w:p>
  <w:p w14:paraId="000000A9" w14:textId="77777777" w:rsidR="00492AEF" w:rsidRDefault="00492AEF">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4620D" w14:textId="77777777" w:rsidR="003A169D" w:rsidRDefault="003A169D">
      <w:r>
        <w:separator/>
      </w:r>
    </w:p>
  </w:footnote>
  <w:footnote w:type="continuationSeparator" w:id="0">
    <w:p w14:paraId="579C4D97" w14:textId="77777777" w:rsidR="003A169D" w:rsidRDefault="003A16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7" w14:textId="77777777" w:rsidR="00492AEF" w:rsidRDefault="00492AEF">
    <w:pPr>
      <w:pBdr>
        <w:top w:val="nil"/>
        <w:left w:val="nil"/>
        <w:bottom w:val="nil"/>
        <w:right w:val="nil"/>
        <w:between w:val="nil"/>
      </w:pBdr>
      <w:tabs>
        <w:tab w:val="center" w:pos="4536"/>
        <w:tab w:val="right" w:pos="9072"/>
        <w:tab w:val="left" w:pos="5003"/>
      </w:tabs>
      <w:jc w:val="right"/>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87FFC"/>
    <w:multiLevelType w:val="multilevel"/>
    <w:tmpl w:val="96BC14C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49767198"/>
    <w:multiLevelType w:val="multilevel"/>
    <w:tmpl w:val="4AFC29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AEF75A9"/>
    <w:multiLevelType w:val="multilevel"/>
    <w:tmpl w:val="4DC85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36B1911"/>
    <w:multiLevelType w:val="multilevel"/>
    <w:tmpl w:val="9142F6D2"/>
    <w:lvl w:ilvl="0">
      <w:start w:val="3"/>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044019059">
    <w:abstractNumId w:val="0"/>
  </w:num>
  <w:num w:numId="2" w16cid:durableId="1289358411">
    <w:abstractNumId w:val="3"/>
  </w:num>
  <w:num w:numId="3" w16cid:durableId="267352223">
    <w:abstractNumId w:val="1"/>
  </w:num>
  <w:num w:numId="4" w16cid:durableId="15980985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C7D"/>
    <w:rsid w:val="00026463"/>
    <w:rsid w:val="00031EBC"/>
    <w:rsid w:val="000352B7"/>
    <w:rsid w:val="00052B50"/>
    <w:rsid w:val="00077DA7"/>
    <w:rsid w:val="00092161"/>
    <w:rsid w:val="00096702"/>
    <w:rsid w:val="0009730C"/>
    <w:rsid w:val="000A18DA"/>
    <w:rsid w:val="000E6972"/>
    <w:rsid w:val="000F4954"/>
    <w:rsid w:val="00102CAD"/>
    <w:rsid w:val="00103D01"/>
    <w:rsid w:val="001124A7"/>
    <w:rsid w:val="00112794"/>
    <w:rsid w:val="00122F3E"/>
    <w:rsid w:val="00152429"/>
    <w:rsid w:val="00174151"/>
    <w:rsid w:val="00174F3F"/>
    <w:rsid w:val="00177230"/>
    <w:rsid w:val="00184818"/>
    <w:rsid w:val="0018617E"/>
    <w:rsid w:val="00187456"/>
    <w:rsid w:val="00192C54"/>
    <w:rsid w:val="001945E4"/>
    <w:rsid w:val="001A359B"/>
    <w:rsid w:val="001A61FD"/>
    <w:rsid w:val="001B458F"/>
    <w:rsid w:val="001C0FA6"/>
    <w:rsid w:val="001F4C35"/>
    <w:rsid w:val="001F53A3"/>
    <w:rsid w:val="001F74F2"/>
    <w:rsid w:val="0020504E"/>
    <w:rsid w:val="0021707D"/>
    <w:rsid w:val="0022470E"/>
    <w:rsid w:val="00226FF6"/>
    <w:rsid w:val="00234C7D"/>
    <w:rsid w:val="002366DF"/>
    <w:rsid w:val="00240D07"/>
    <w:rsid w:val="00262E33"/>
    <w:rsid w:val="002710E0"/>
    <w:rsid w:val="00273809"/>
    <w:rsid w:val="00276D28"/>
    <w:rsid w:val="00277626"/>
    <w:rsid w:val="00287DBE"/>
    <w:rsid w:val="00296104"/>
    <w:rsid w:val="002B5185"/>
    <w:rsid w:val="002D09D6"/>
    <w:rsid w:val="0030397F"/>
    <w:rsid w:val="0031115B"/>
    <w:rsid w:val="0031130A"/>
    <w:rsid w:val="00354171"/>
    <w:rsid w:val="0036117D"/>
    <w:rsid w:val="003724DA"/>
    <w:rsid w:val="003842D6"/>
    <w:rsid w:val="00384915"/>
    <w:rsid w:val="003A169D"/>
    <w:rsid w:val="003A19BE"/>
    <w:rsid w:val="003A42F1"/>
    <w:rsid w:val="003B7632"/>
    <w:rsid w:val="003D09AF"/>
    <w:rsid w:val="003E78BB"/>
    <w:rsid w:val="003F7511"/>
    <w:rsid w:val="00406470"/>
    <w:rsid w:val="00415707"/>
    <w:rsid w:val="004276BF"/>
    <w:rsid w:val="0043453E"/>
    <w:rsid w:val="004347BC"/>
    <w:rsid w:val="00436250"/>
    <w:rsid w:val="00453D00"/>
    <w:rsid w:val="00460EA1"/>
    <w:rsid w:val="004624B1"/>
    <w:rsid w:val="00477C8A"/>
    <w:rsid w:val="00492AEF"/>
    <w:rsid w:val="0049598D"/>
    <w:rsid w:val="004C7208"/>
    <w:rsid w:val="004D56B1"/>
    <w:rsid w:val="004E18A7"/>
    <w:rsid w:val="004E4E2A"/>
    <w:rsid w:val="005076C5"/>
    <w:rsid w:val="005103AF"/>
    <w:rsid w:val="00511B3E"/>
    <w:rsid w:val="00513768"/>
    <w:rsid w:val="00515801"/>
    <w:rsid w:val="00526AAB"/>
    <w:rsid w:val="00537301"/>
    <w:rsid w:val="005568C0"/>
    <w:rsid w:val="005807B7"/>
    <w:rsid w:val="0058438B"/>
    <w:rsid w:val="005906D9"/>
    <w:rsid w:val="005D00D5"/>
    <w:rsid w:val="005D12A8"/>
    <w:rsid w:val="005E2333"/>
    <w:rsid w:val="005F0F11"/>
    <w:rsid w:val="005F7809"/>
    <w:rsid w:val="006025A8"/>
    <w:rsid w:val="00604C3B"/>
    <w:rsid w:val="00606DFD"/>
    <w:rsid w:val="00633B06"/>
    <w:rsid w:val="00641637"/>
    <w:rsid w:val="0065250A"/>
    <w:rsid w:val="0065489A"/>
    <w:rsid w:val="00680C52"/>
    <w:rsid w:val="00691228"/>
    <w:rsid w:val="006A30C8"/>
    <w:rsid w:val="006A5154"/>
    <w:rsid w:val="006B41B3"/>
    <w:rsid w:val="006B78A7"/>
    <w:rsid w:val="006F25E4"/>
    <w:rsid w:val="006F4ACA"/>
    <w:rsid w:val="00701473"/>
    <w:rsid w:val="0072143B"/>
    <w:rsid w:val="00743D6E"/>
    <w:rsid w:val="007526EC"/>
    <w:rsid w:val="00760303"/>
    <w:rsid w:val="007629E4"/>
    <w:rsid w:val="00764FA2"/>
    <w:rsid w:val="0076705D"/>
    <w:rsid w:val="00771324"/>
    <w:rsid w:val="00774279"/>
    <w:rsid w:val="007924E3"/>
    <w:rsid w:val="007973CA"/>
    <w:rsid w:val="007B2FE2"/>
    <w:rsid w:val="007C07DB"/>
    <w:rsid w:val="007D1DA3"/>
    <w:rsid w:val="007F3EF8"/>
    <w:rsid w:val="007F4DAE"/>
    <w:rsid w:val="007F53EF"/>
    <w:rsid w:val="008022A8"/>
    <w:rsid w:val="008273B0"/>
    <w:rsid w:val="008307B7"/>
    <w:rsid w:val="008324C4"/>
    <w:rsid w:val="0083648D"/>
    <w:rsid w:val="00850EC4"/>
    <w:rsid w:val="00852473"/>
    <w:rsid w:val="00857C8D"/>
    <w:rsid w:val="00873CED"/>
    <w:rsid w:val="0088792E"/>
    <w:rsid w:val="00892266"/>
    <w:rsid w:val="008A3E08"/>
    <w:rsid w:val="008A3E25"/>
    <w:rsid w:val="008A437C"/>
    <w:rsid w:val="008C65D6"/>
    <w:rsid w:val="008D0846"/>
    <w:rsid w:val="008D59A8"/>
    <w:rsid w:val="008E3E70"/>
    <w:rsid w:val="008E7914"/>
    <w:rsid w:val="00901A64"/>
    <w:rsid w:val="009034E9"/>
    <w:rsid w:val="00906930"/>
    <w:rsid w:val="00907EA2"/>
    <w:rsid w:val="00910F91"/>
    <w:rsid w:val="00933A48"/>
    <w:rsid w:val="00936188"/>
    <w:rsid w:val="009721AE"/>
    <w:rsid w:val="00977378"/>
    <w:rsid w:val="00977D96"/>
    <w:rsid w:val="0098686A"/>
    <w:rsid w:val="00991447"/>
    <w:rsid w:val="009B77D5"/>
    <w:rsid w:val="009C0AE7"/>
    <w:rsid w:val="009C2535"/>
    <w:rsid w:val="00A1105B"/>
    <w:rsid w:val="00A14D24"/>
    <w:rsid w:val="00A16187"/>
    <w:rsid w:val="00A20050"/>
    <w:rsid w:val="00A212E5"/>
    <w:rsid w:val="00A2209A"/>
    <w:rsid w:val="00A357B4"/>
    <w:rsid w:val="00A51750"/>
    <w:rsid w:val="00A51A01"/>
    <w:rsid w:val="00A54520"/>
    <w:rsid w:val="00A83E6C"/>
    <w:rsid w:val="00A97E11"/>
    <w:rsid w:val="00AB7584"/>
    <w:rsid w:val="00AD2BAD"/>
    <w:rsid w:val="00AD5718"/>
    <w:rsid w:val="00AF1FB4"/>
    <w:rsid w:val="00B218DE"/>
    <w:rsid w:val="00B2351B"/>
    <w:rsid w:val="00B32438"/>
    <w:rsid w:val="00B42E6F"/>
    <w:rsid w:val="00B56C84"/>
    <w:rsid w:val="00B6549A"/>
    <w:rsid w:val="00B738AD"/>
    <w:rsid w:val="00B77EE7"/>
    <w:rsid w:val="00B82C37"/>
    <w:rsid w:val="00B856BF"/>
    <w:rsid w:val="00B925D6"/>
    <w:rsid w:val="00B97C09"/>
    <w:rsid w:val="00BA0421"/>
    <w:rsid w:val="00BA19A3"/>
    <w:rsid w:val="00BD5288"/>
    <w:rsid w:val="00BF3AC3"/>
    <w:rsid w:val="00C1654F"/>
    <w:rsid w:val="00C2479C"/>
    <w:rsid w:val="00C36916"/>
    <w:rsid w:val="00C40AB9"/>
    <w:rsid w:val="00C53E02"/>
    <w:rsid w:val="00C57827"/>
    <w:rsid w:val="00C66AD3"/>
    <w:rsid w:val="00C7163A"/>
    <w:rsid w:val="00C71874"/>
    <w:rsid w:val="00C77F33"/>
    <w:rsid w:val="00C81FF0"/>
    <w:rsid w:val="00C82701"/>
    <w:rsid w:val="00C938F5"/>
    <w:rsid w:val="00CA5887"/>
    <w:rsid w:val="00CE62B3"/>
    <w:rsid w:val="00CE7643"/>
    <w:rsid w:val="00D03512"/>
    <w:rsid w:val="00D21FB9"/>
    <w:rsid w:val="00D26682"/>
    <w:rsid w:val="00D351BF"/>
    <w:rsid w:val="00D354E3"/>
    <w:rsid w:val="00D81A0F"/>
    <w:rsid w:val="00D904DB"/>
    <w:rsid w:val="00D91C0A"/>
    <w:rsid w:val="00D9247A"/>
    <w:rsid w:val="00D93B45"/>
    <w:rsid w:val="00DA616E"/>
    <w:rsid w:val="00DB4069"/>
    <w:rsid w:val="00DC1AD9"/>
    <w:rsid w:val="00DC2B72"/>
    <w:rsid w:val="00DC45A8"/>
    <w:rsid w:val="00DD40DD"/>
    <w:rsid w:val="00DE7F41"/>
    <w:rsid w:val="00DF07B6"/>
    <w:rsid w:val="00E0715F"/>
    <w:rsid w:val="00E4247C"/>
    <w:rsid w:val="00E5136D"/>
    <w:rsid w:val="00E60E8A"/>
    <w:rsid w:val="00E865B2"/>
    <w:rsid w:val="00E95E36"/>
    <w:rsid w:val="00EB6585"/>
    <w:rsid w:val="00EC34A6"/>
    <w:rsid w:val="00ED2DE5"/>
    <w:rsid w:val="00EE54D4"/>
    <w:rsid w:val="00F0070E"/>
    <w:rsid w:val="00F01306"/>
    <w:rsid w:val="00F03EA8"/>
    <w:rsid w:val="00F24283"/>
    <w:rsid w:val="00F3389B"/>
    <w:rsid w:val="00F627FE"/>
    <w:rsid w:val="00F63420"/>
    <w:rsid w:val="00F67B28"/>
    <w:rsid w:val="00F71602"/>
    <w:rsid w:val="00F760D8"/>
    <w:rsid w:val="00F81A94"/>
    <w:rsid w:val="00F91DC2"/>
    <w:rsid w:val="00FB26DA"/>
    <w:rsid w:val="00FB6D2C"/>
    <w:rsid w:val="00FC2299"/>
    <w:rsid w:val="00FE199F"/>
    <w:rsid w:val="00FE1E4D"/>
    <w:rsid w:val="00FE6705"/>
    <w:rsid w:val="00FF34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90E0B"/>
  <w15:docId w15:val="{37F645D0-16DB-42D9-87CE-BD832129D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40" w:line="360" w:lineRule="auto"/>
      <w:outlineLvl w:val="1"/>
    </w:pPr>
    <w:rPr>
      <w:rFonts w:ascii="Arial" w:eastAsia="Arial" w:hAnsi="Arial" w:cs="Arial"/>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customStyle="1" w:styleId="History">
    <w:name w:val="History"/>
    <w:rsid w:val="005B291B"/>
    <w:pPr>
      <w:spacing w:before="230" w:after="460" w:line="180" w:lineRule="exact"/>
      <w:jc w:val="right"/>
    </w:pPr>
    <w:rPr>
      <w:rFonts w:ascii="Arial" w:hAnsi="Arial"/>
      <w:sz w:val="14"/>
      <w:szCs w:val="16"/>
    </w:rPr>
  </w:style>
  <w:style w:type="paragraph" w:customStyle="1" w:styleId="References">
    <w:name w:val="References"/>
    <w:rsid w:val="005B291B"/>
    <w:pPr>
      <w:spacing w:line="200" w:lineRule="exact"/>
      <w:ind w:left="425" w:hanging="425"/>
      <w:jc w:val="both"/>
    </w:pPr>
    <w:rPr>
      <w:sz w:val="15"/>
      <w:szCs w:val="14"/>
      <w:lang w:val="en-GB"/>
    </w:rPr>
  </w:style>
  <w:style w:type="paragraph" w:customStyle="1" w:styleId="HExperimentalSection">
    <w:name w:val="HExperimental_Section"/>
    <w:rsid w:val="005B291B"/>
    <w:pPr>
      <w:spacing w:before="460" w:after="230" w:line="230" w:lineRule="atLeast"/>
    </w:pPr>
    <w:rPr>
      <w:i/>
      <w:szCs w:val="20"/>
    </w:rPr>
  </w:style>
  <w:style w:type="paragraph" w:customStyle="1" w:styleId="ExperimentalSection">
    <w:name w:val="ExperimentalSection"/>
    <w:rsid w:val="005B291B"/>
    <w:pPr>
      <w:spacing w:after="240" w:line="200" w:lineRule="exact"/>
      <w:ind w:firstLine="170"/>
      <w:jc w:val="both"/>
    </w:pPr>
    <w:rPr>
      <w:sz w:val="16"/>
      <w:szCs w:val="14"/>
      <w:lang w:val="en-GB"/>
    </w:rPr>
  </w:style>
  <w:style w:type="paragraph" w:customStyle="1" w:styleId="FNB">
    <w:name w:val="FNB"/>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rsid w:val="005B291B"/>
  </w:style>
  <w:style w:type="paragraph" w:customStyle="1" w:styleId="TableCaption">
    <w:name w:val="TableCaption"/>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rsid w:val="006511FB"/>
    <w:pPr>
      <w:spacing w:before="230" w:after="460" w:line="190" w:lineRule="exact"/>
      <w:jc w:val="both"/>
    </w:pPr>
    <w:rPr>
      <w:rFonts w:ascii="Arial" w:hAnsi="Arial"/>
      <w:sz w:val="16"/>
      <w:szCs w:val="14"/>
      <w:lang w:val="en-GB"/>
    </w:rPr>
  </w:style>
  <w:style w:type="paragraph" w:styleId="FootnoteText">
    <w:name w:val="footnote text"/>
    <w:semiHidden/>
    <w:rsid w:val="00D81375"/>
    <w:pPr>
      <w:keepLines/>
      <w:widowControl w:val="0"/>
      <w:jc w:val="both"/>
    </w:pPr>
    <w:rPr>
      <w:sz w:val="20"/>
      <w:szCs w:val="20"/>
      <w:lang w:val="en-GB" w:eastAsia="ro-RO"/>
    </w:rPr>
  </w:style>
  <w:style w:type="paragraph" w:customStyle="1" w:styleId="STOE">
    <w:name w:val="STOE"/>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semiHidden/>
    <w:rsid w:val="00D81375"/>
    <w:rPr>
      <w:rFonts w:ascii="Tahoma" w:hAnsi="Tahoma" w:cs="Tahoma"/>
      <w:sz w:val="16"/>
      <w:szCs w:val="16"/>
    </w:rPr>
  </w:style>
  <w:style w:type="paragraph" w:styleId="Header">
    <w:name w:val="header"/>
    <w:link w:val="HeaderChar"/>
    <w:rsid w:val="00881456"/>
    <w:pPr>
      <w:tabs>
        <w:tab w:val="center" w:pos="4536"/>
        <w:tab w:val="right" w:pos="9072"/>
      </w:tabs>
    </w:pPr>
    <w:rPr>
      <w:lang w:val="x-none"/>
    </w:rPr>
  </w:style>
  <w:style w:type="paragraph" w:styleId="Footer">
    <w:name w:val="footer"/>
    <w:link w:val="FooterChar"/>
    <w:uiPriority w:val="99"/>
    <w:rsid w:val="00881456"/>
    <w:pPr>
      <w:tabs>
        <w:tab w:val="center" w:pos="4536"/>
        <w:tab w:val="right" w:pos="9072"/>
      </w:tabs>
    </w:pPr>
  </w:style>
  <w:style w:type="paragraph" w:customStyle="1" w:styleId="Title1">
    <w:name w:val="Title1"/>
    <w:rsid w:val="00004A23"/>
    <w:rPr>
      <w:b/>
    </w:rPr>
  </w:style>
  <w:style w:type="paragraph" w:customStyle="1" w:styleId="AuthorsFull">
    <w:name w:val="Authors Full"/>
    <w:rsid w:val="00004A23"/>
    <w:rPr>
      <w:i/>
    </w:rPr>
  </w:style>
  <w:style w:type="paragraph" w:customStyle="1" w:styleId="dedication">
    <w:name w:val="dedication"/>
    <w:rsid w:val="00004A23"/>
    <w:rPr>
      <w:i/>
    </w:rPr>
  </w:style>
  <w:style w:type="paragraph" w:customStyle="1" w:styleId="Addresses">
    <w:name w:val="Addresses"/>
    <w:rsid w:val="00004A23"/>
  </w:style>
  <w:style w:type="paragraph" w:customStyle="1" w:styleId="Acknowledgements">
    <w:name w:val="Acknowledgements"/>
    <w:rsid w:val="00004A23"/>
  </w:style>
  <w:style w:type="paragraph" w:customStyle="1" w:styleId="Abstract">
    <w:name w:val="Abstract"/>
    <w:autoRedefine/>
    <w:rsid w:val="00004A23"/>
    <w:pPr>
      <w:spacing w:line="480" w:lineRule="auto"/>
    </w:pPr>
  </w:style>
  <w:style w:type="paragraph" w:customStyle="1" w:styleId="Head1">
    <w:name w:val="Head 1"/>
    <w:autoRedefine/>
    <w:rsid w:val="002B79BB"/>
    <w:pPr>
      <w:spacing w:line="276" w:lineRule="auto"/>
      <w:jc w:val="both"/>
    </w:pPr>
  </w:style>
  <w:style w:type="paragraph" w:customStyle="1" w:styleId="Head2">
    <w:name w:val="Head 2"/>
    <w:autoRedefine/>
    <w:rsid w:val="00004A23"/>
    <w:pPr>
      <w:spacing w:line="360" w:lineRule="auto"/>
    </w:pPr>
    <w:rPr>
      <w:i/>
    </w:rPr>
  </w:style>
  <w:style w:type="paragraph" w:customStyle="1" w:styleId="dates">
    <w:name w:val="dates"/>
    <w:rsid w:val="00004A23"/>
    <w:pPr>
      <w:jc w:val="right"/>
    </w:pPr>
  </w:style>
  <w:style w:type="paragraph" w:customStyle="1" w:styleId="Literature">
    <w:name w:val="Literature"/>
    <w:rsid w:val="00004A23"/>
    <w:pPr>
      <w:spacing w:line="480" w:lineRule="auto"/>
    </w:pPr>
  </w:style>
  <w:style w:type="paragraph" w:customStyle="1" w:styleId="Legend">
    <w:name w:val="Legend"/>
    <w:rsid w:val="00004A23"/>
  </w:style>
  <w:style w:type="paragraph" w:customStyle="1" w:styleId="MainText">
    <w:name w:val="Main Text"/>
    <w:link w:val="MainTextChar"/>
    <w:rsid w:val="00004A23"/>
    <w:pPr>
      <w:spacing w:line="480" w:lineRule="auto"/>
    </w:pPr>
  </w:style>
  <w:style w:type="paragraph" w:customStyle="1" w:styleId="Tableofcontents">
    <w:name w:val="Table of contents"/>
    <w:autoRedefine/>
    <w:rsid w:val="001C5DAA"/>
    <w:pPr>
      <w:spacing w:line="360" w:lineRule="auto"/>
    </w:pPr>
  </w:style>
  <w:style w:type="paragraph" w:customStyle="1" w:styleId="ExperimentalText">
    <w:name w:val="Experimental Text"/>
    <w:link w:val="ExperimentalTextChar"/>
    <w:rsid w:val="00004A23"/>
    <w:pPr>
      <w:spacing w:line="480" w:lineRule="auto"/>
    </w:p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rsid w:val="002D16A0"/>
    <w:rPr>
      <w:b/>
    </w:rPr>
  </w:style>
  <w:style w:type="paragraph" w:customStyle="1" w:styleId="Dedication0">
    <w:name w:val="Dedication"/>
    <w:autoRedefine/>
    <w:rsid w:val="00322D5B"/>
  </w:style>
  <w:style w:type="paragraph" w:customStyle="1" w:styleId="Maintext0">
    <w:name w:val="Main text"/>
    <w:link w:val="MaintextChar0"/>
    <w:autoRedefine/>
    <w:rsid w:val="00BC59A5"/>
    <w:pPr>
      <w:spacing w:line="276" w:lineRule="auto"/>
    </w:pPr>
    <w:rPr>
      <w:b/>
    </w:rPr>
  </w:style>
  <w:style w:type="character" w:customStyle="1" w:styleId="MaintextChar0">
    <w:name w:val="Main text Char"/>
    <w:link w:val="Maintext0"/>
    <w:rsid w:val="00BC59A5"/>
    <w:rPr>
      <w:b/>
      <w:sz w:val="24"/>
      <w:szCs w:val="24"/>
      <w:lang w:val="en-US" w:eastAsia="ja-JP"/>
    </w:rPr>
  </w:style>
  <w:style w:type="paragraph" w:customStyle="1" w:styleId="Biography">
    <w:name w:val="Biography"/>
    <w:autoRedefine/>
    <w:rsid w:val="00562E2B"/>
    <w:rPr>
      <w:i/>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link w:val="CommentTextChar"/>
    <w:uiPriority w:val="99"/>
    <w:unhideWhenUsed/>
    <w:rsid w:val="00664F6D"/>
    <w:rPr>
      <w:sz w:val="20"/>
      <w:szCs w:val="20"/>
      <w:lang w:val="x-none"/>
    </w:rPr>
  </w:style>
  <w:style w:type="character" w:customStyle="1" w:styleId="CommentTextChar">
    <w:name w:val="Comment Text Char"/>
    <w:link w:val="CommentText"/>
    <w:uiPriority w:val="99"/>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PlaceholderText">
    <w:name w:val="Placeholder Text"/>
    <w:basedOn w:val="DefaultParagraphFont"/>
    <w:uiPriority w:val="99"/>
    <w:semiHidden/>
    <w:rsid w:val="00FC064E"/>
    <w:rPr>
      <w:color w:val="666666"/>
    </w:rPr>
  </w:style>
  <w:style w:type="paragraph" w:styleId="ListParagraph">
    <w:name w:val="List Paragraph"/>
    <w:uiPriority w:val="34"/>
    <w:qFormat/>
    <w:rsid w:val="0079054F"/>
    <w:pPr>
      <w:spacing w:after="160" w:line="259" w:lineRule="auto"/>
      <w:ind w:left="720"/>
      <w:contextualSpacing/>
    </w:pPr>
    <w:rPr>
      <w:rFonts w:asciiTheme="minorHAnsi" w:eastAsiaTheme="minorHAnsi" w:hAnsiTheme="minorHAnsi" w:cstheme="minorBidi"/>
      <w:sz w:val="22"/>
      <w:szCs w:val="22"/>
      <w:lang w:val="it-IT" w:eastAsia="en-US"/>
    </w:rPr>
  </w:style>
  <w:style w:type="paragraph" w:styleId="NormalWeb">
    <w:name w:val="Normal (Web)"/>
    <w:uiPriority w:val="99"/>
    <w:unhideWhenUsed/>
    <w:rsid w:val="00374EC8"/>
    <w:pPr>
      <w:spacing w:before="100" w:beforeAutospacing="1" w:after="100" w:afterAutospacing="1"/>
    </w:pPr>
    <w:rPr>
      <w:lang w:val="it-IT"/>
    </w:rPr>
  </w:style>
  <w:style w:type="character" w:styleId="Strong">
    <w:name w:val="Strong"/>
    <w:basedOn w:val="DefaultParagraphFont"/>
    <w:uiPriority w:val="22"/>
    <w:qFormat/>
    <w:rsid w:val="00374EC8"/>
    <w:rPr>
      <w:b/>
      <w:bCs/>
    </w:rPr>
  </w:style>
  <w:style w:type="character" w:customStyle="1" w:styleId="Titolo2Carattere">
    <w:name w:val="Titolo 2 Carattere"/>
    <w:basedOn w:val="DefaultParagraphFont"/>
    <w:uiPriority w:val="9"/>
    <w:rsid w:val="00597DA8"/>
    <w:rPr>
      <w:rFonts w:ascii="Arial" w:eastAsiaTheme="majorEastAsia" w:hAnsi="Arial" w:cstheme="majorBidi"/>
      <w:i/>
      <w:kern w:val="2"/>
      <w:sz w:val="28"/>
      <w:szCs w:val="26"/>
      <w:lang w:val="en-US" w:eastAsia="en-US"/>
    </w:rPr>
  </w:style>
  <w:style w:type="character" w:customStyle="1" w:styleId="Titolo5Carattere">
    <w:name w:val="Titolo 5 Carattere"/>
    <w:basedOn w:val="DefaultParagraphFont"/>
    <w:uiPriority w:val="9"/>
    <w:semiHidden/>
    <w:rsid w:val="00597DA8"/>
    <w:rPr>
      <w:rFonts w:asciiTheme="majorHAnsi" w:eastAsiaTheme="majorEastAsia" w:hAnsiTheme="majorHAnsi" w:cstheme="majorBidi"/>
      <w:color w:val="2F5496" w:themeColor="accent1" w:themeShade="BF"/>
      <w:kern w:val="2"/>
      <w:sz w:val="22"/>
      <w:szCs w:val="22"/>
      <w:lang w:val="it-IT" w:eastAsia="en-US"/>
    </w:rPr>
  </w:style>
  <w:style w:type="paragraph" w:styleId="Caption">
    <w:name w:val="caption"/>
    <w:uiPriority w:val="35"/>
    <w:unhideWhenUsed/>
    <w:qFormat/>
    <w:rsid w:val="00CC7DC9"/>
    <w:pPr>
      <w:spacing w:after="200"/>
    </w:pPr>
    <w:rPr>
      <w:i/>
      <w:iCs/>
      <w:color w:val="44546A" w:themeColor="text2"/>
      <w:sz w:val="18"/>
      <w:szCs w:val="18"/>
    </w:rPr>
  </w:style>
  <w:style w:type="character" w:styleId="Emphasis">
    <w:name w:val="Emphasis"/>
    <w:basedOn w:val="DefaultParagraphFont"/>
    <w:uiPriority w:val="20"/>
    <w:qFormat/>
    <w:rsid w:val="004053B6"/>
    <w:rPr>
      <w:i/>
      <w:iCs/>
    </w:rPr>
  </w:style>
  <w:style w:type="character" w:customStyle="1" w:styleId="anchor-text">
    <w:name w:val="anchor-text"/>
    <w:basedOn w:val="DefaultParagraphFont"/>
    <w:rsid w:val="004053B6"/>
  </w:style>
  <w:style w:type="character" w:customStyle="1" w:styleId="label">
    <w:name w:val="label"/>
    <w:basedOn w:val="DefaultParagraphFont"/>
    <w:rsid w:val="004053B6"/>
  </w:style>
  <w:style w:type="character" w:styleId="Hyperlink">
    <w:name w:val="Hyperlink"/>
    <w:basedOn w:val="DefaultParagraphFont"/>
    <w:uiPriority w:val="99"/>
    <w:unhideWhenUsed/>
    <w:rsid w:val="001C1C95"/>
    <w:rPr>
      <w:color w:val="0000FF"/>
      <w:u w:val="single"/>
    </w:rPr>
  </w:style>
  <w:style w:type="character" w:customStyle="1" w:styleId="Titolo4Carattere">
    <w:name w:val="Titolo 4 Carattere"/>
    <w:basedOn w:val="DefaultParagraphFont"/>
    <w:uiPriority w:val="9"/>
    <w:semiHidden/>
    <w:rsid w:val="00EA20DF"/>
    <w:rPr>
      <w:rFonts w:asciiTheme="majorHAnsi" w:eastAsiaTheme="majorEastAsia" w:hAnsiTheme="majorHAnsi" w:cstheme="majorBidi"/>
      <w:i/>
      <w:iCs/>
      <w:color w:val="2F5496" w:themeColor="accent1" w:themeShade="BF"/>
      <w:sz w:val="24"/>
      <w:szCs w:val="24"/>
      <w:lang w:val="en-US" w:eastAsia="ja-JP"/>
    </w:rPr>
  </w:style>
  <w:style w:type="character" w:customStyle="1" w:styleId="Titolo1Carattere">
    <w:name w:val="Titolo 1 Carattere"/>
    <w:basedOn w:val="DefaultParagraphFont"/>
    <w:uiPriority w:val="9"/>
    <w:rsid w:val="00A6311A"/>
    <w:rPr>
      <w:rFonts w:asciiTheme="majorHAnsi" w:eastAsiaTheme="majorEastAsia" w:hAnsiTheme="majorHAnsi" w:cstheme="majorBidi"/>
      <w:color w:val="2F5496" w:themeColor="accent1" w:themeShade="BF"/>
      <w:sz w:val="32"/>
      <w:szCs w:val="32"/>
      <w:lang w:val="en-US" w:eastAsia="ja-JP"/>
    </w:rPr>
  </w:style>
  <w:style w:type="paragraph" w:styleId="Revision">
    <w:name w:val="Revision"/>
    <w:hidden/>
    <w:uiPriority w:val="99"/>
    <w:semiHidden/>
    <w:rsid w:val="00D754A8"/>
    <w:rPr>
      <w:lang w:eastAsia="ja-JP"/>
    </w:rPr>
  </w:style>
  <w:style w:type="character" w:customStyle="1" w:styleId="Menzionenonrisolta1">
    <w:name w:val="Menzione non risolta1"/>
    <w:basedOn w:val="DefaultParagraphFont"/>
    <w:uiPriority w:val="99"/>
    <w:semiHidden/>
    <w:unhideWhenUsed/>
    <w:rsid w:val="005D26B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c-bibliographic-informationvalue">
    <w:name w:val="c-bibliographic-information__value"/>
    <w:basedOn w:val="DefaultParagraphFont"/>
    <w:rsid w:val="00F3389B"/>
  </w:style>
  <w:style w:type="character" w:customStyle="1" w:styleId="identifier">
    <w:name w:val="identifier"/>
    <w:basedOn w:val="DefaultParagraphFont"/>
    <w:rsid w:val="00B2351B"/>
  </w:style>
  <w:style w:type="character" w:customStyle="1" w:styleId="title-text">
    <w:name w:val="title-text"/>
    <w:basedOn w:val="DefaultParagraphFont"/>
    <w:rsid w:val="00E0715F"/>
  </w:style>
  <w:style w:type="character" w:customStyle="1" w:styleId="articletitle">
    <w:name w:val="articletitle"/>
    <w:basedOn w:val="DefaultParagraphFont"/>
    <w:rsid w:val="00D351BF"/>
  </w:style>
  <w:style w:type="character" w:customStyle="1" w:styleId="value">
    <w:name w:val="value"/>
    <w:basedOn w:val="DefaultParagraphFont"/>
    <w:rsid w:val="00B97C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4214">
      <w:bodyDiv w:val="1"/>
      <w:marLeft w:val="0"/>
      <w:marRight w:val="0"/>
      <w:marTop w:val="0"/>
      <w:marBottom w:val="0"/>
      <w:divBdr>
        <w:top w:val="none" w:sz="0" w:space="0" w:color="auto"/>
        <w:left w:val="none" w:sz="0" w:space="0" w:color="auto"/>
        <w:bottom w:val="none" w:sz="0" w:space="0" w:color="auto"/>
        <w:right w:val="none" w:sz="0" w:space="0" w:color="auto"/>
      </w:divBdr>
    </w:div>
    <w:div w:id="69206403">
      <w:bodyDiv w:val="1"/>
      <w:marLeft w:val="0"/>
      <w:marRight w:val="0"/>
      <w:marTop w:val="0"/>
      <w:marBottom w:val="0"/>
      <w:divBdr>
        <w:top w:val="none" w:sz="0" w:space="0" w:color="auto"/>
        <w:left w:val="none" w:sz="0" w:space="0" w:color="auto"/>
        <w:bottom w:val="none" w:sz="0" w:space="0" w:color="auto"/>
        <w:right w:val="none" w:sz="0" w:space="0" w:color="auto"/>
      </w:divBdr>
      <w:divsChild>
        <w:div w:id="2127658274">
          <w:marLeft w:val="0"/>
          <w:marRight w:val="0"/>
          <w:marTop w:val="0"/>
          <w:marBottom w:val="0"/>
          <w:divBdr>
            <w:top w:val="none" w:sz="0" w:space="0" w:color="auto"/>
            <w:left w:val="none" w:sz="0" w:space="0" w:color="auto"/>
            <w:bottom w:val="none" w:sz="0" w:space="0" w:color="auto"/>
            <w:right w:val="none" w:sz="0" w:space="0" w:color="auto"/>
          </w:divBdr>
        </w:div>
        <w:div w:id="477571168">
          <w:marLeft w:val="0"/>
          <w:marRight w:val="0"/>
          <w:marTop w:val="0"/>
          <w:marBottom w:val="0"/>
          <w:divBdr>
            <w:top w:val="none" w:sz="0" w:space="0" w:color="auto"/>
            <w:left w:val="none" w:sz="0" w:space="0" w:color="auto"/>
            <w:bottom w:val="none" w:sz="0" w:space="0" w:color="auto"/>
            <w:right w:val="none" w:sz="0" w:space="0" w:color="auto"/>
          </w:divBdr>
        </w:div>
      </w:divsChild>
    </w:div>
    <w:div w:id="108937098">
      <w:bodyDiv w:val="1"/>
      <w:marLeft w:val="0"/>
      <w:marRight w:val="0"/>
      <w:marTop w:val="0"/>
      <w:marBottom w:val="0"/>
      <w:divBdr>
        <w:top w:val="none" w:sz="0" w:space="0" w:color="auto"/>
        <w:left w:val="none" w:sz="0" w:space="0" w:color="auto"/>
        <w:bottom w:val="none" w:sz="0" w:space="0" w:color="auto"/>
        <w:right w:val="none" w:sz="0" w:space="0" w:color="auto"/>
      </w:divBdr>
    </w:div>
    <w:div w:id="176122552">
      <w:bodyDiv w:val="1"/>
      <w:marLeft w:val="0"/>
      <w:marRight w:val="0"/>
      <w:marTop w:val="0"/>
      <w:marBottom w:val="0"/>
      <w:divBdr>
        <w:top w:val="none" w:sz="0" w:space="0" w:color="auto"/>
        <w:left w:val="none" w:sz="0" w:space="0" w:color="auto"/>
        <w:bottom w:val="none" w:sz="0" w:space="0" w:color="auto"/>
        <w:right w:val="none" w:sz="0" w:space="0" w:color="auto"/>
      </w:divBdr>
    </w:div>
    <w:div w:id="201092640">
      <w:bodyDiv w:val="1"/>
      <w:marLeft w:val="0"/>
      <w:marRight w:val="0"/>
      <w:marTop w:val="0"/>
      <w:marBottom w:val="0"/>
      <w:divBdr>
        <w:top w:val="none" w:sz="0" w:space="0" w:color="auto"/>
        <w:left w:val="none" w:sz="0" w:space="0" w:color="auto"/>
        <w:bottom w:val="none" w:sz="0" w:space="0" w:color="auto"/>
        <w:right w:val="none" w:sz="0" w:space="0" w:color="auto"/>
      </w:divBdr>
    </w:div>
    <w:div w:id="300816860">
      <w:bodyDiv w:val="1"/>
      <w:marLeft w:val="0"/>
      <w:marRight w:val="0"/>
      <w:marTop w:val="0"/>
      <w:marBottom w:val="0"/>
      <w:divBdr>
        <w:top w:val="none" w:sz="0" w:space="0" w:color="auto"/>
        <w:left w:val="none" w:sz="0" w:space="0" w:color="auto"/>
        <w:bottom w:val="none" w:sz="0" w:space="0" w:color="auto"/>
        <w:right w:val="none" w:sz="0" w:space="0" w:color="auto"/>
      </w:divBdr>
    </w:div>
    <w:div w:id="885868486">
      <w:bodyDiv w:val="1"/>
      <w:marLeft w:val="0"/>
      <w:marRight w:val="0"/>
      <w:marTop w:val="0"/>
      <w:marBottom w:val="0"/>
      <w:divBdr>
        <w:top w:val="none" w:sz="0" w:space="0" w:color="auto"/>
        <w:left w:val="none" w:sz="0" w:space="0" w:color="auto"/>
        <w:bottom w:val="none" w:sz="0" w:space="0" w:color="auto"/>
        <w:right w:val="none" w:sz="0" w:space="0" w:color="auto"/>
      </w:divBdr>
      <w:divsChild>
        <w:div w:id="1298485802">
          <w:marLeft w:val="0"/>
          <w:marRight w:val="0"/>
          <w:marTop w:val="0"/>
          <w:marBottom w:val="0"/>
          <w:divBdr>
            <w:top w:val="none" w:sz="0" w:space="0" w:color="auto"/>
            <w:left w:val="none" w:sz="0" w:space="0" w:color="auto"/>
            <w:bottom w:val="none" w:sz="0" w:space="0" w:color="auto"/>
            <w:right w:val="none" w:sz="0" w:space="0" w:color="auto"/>
          </w:divBdr>
        </w:div>
      </w:divsChild>
    </w:div>
    <w:div w:id="901018315">
      <w:bodyDiv w:val="1"/>
      <w:marLeft w:val="0"/>
      <w:marRight w:val="0"/>
      <w:marTop w:val="0"/>
      <w:marBottom w:val="0"/>
      <w:divBdr>
        <w:top w:val="none" w:sz="0" w:space="0" w:color="auto"/>
        <w:left w:val="none" w:sz="0" w:space="0" w:color="auto"/>
        <w:bottom w:val="none" w:sz="0" w:space="0" w:color="auto"/>
        <w:right w:val="none" w:sz="0" w:space="0" w:color="auto"/>
      </w:divBdr>
    </w:div>
    <w:div w:id="926891156">
      <w:bodyDiv w:val="1"/>
      <w:marLeft w:val="0"/>
      <w:marRight w:val="0"/>
      <w:marTop w:val="0"/>
      <w:marBottom w:val="0"/>
      <w:divBdr>
        <w:top w:val="none" w:sz="0" w:space="0" w:color="auto"/>
        <w:left w:val="none" w:sz="0" w:space="0" w:color="auto"/>
        <w:bottom w:val="none" w:sz="0" w:space="0" w:color="auto"/>
        <w:right w:val="none" w:sz="0" w:space="0" w:color="auto"/>
      </w:divBdr>
      <w:divsChild>
        <w:div w:id="1832209501">
          <w:marLeft w:val="0"/>
          <w:marRight w:val="0"/>
          <w:marTop w:val="0"/>
          <w:marBottom w:val="0"/>
          <w:divBdr>
            <w:top w:val="none" w:sz="0" w:space="0" w:color="auto"/>
            <w:left w:val="none" w:sz="0" w:space="0" w:color="auto"/>
            <w:bottom w:val="none" w:sz="0" w:space="0" w:color="auto"/>
            <w:right w:val="none" w:sz="0" w:space="0" w:color="auto"/>
          </w:divBdr>
        </w:div>
        <w:div w:id="1021854719">
          <w:marLeft w:val="0"/>
          <w:marRight w:val="0"/>
          <w:marTop w:val="0"/>
          <w:marBottom w:val="0"/>
          <w:divBdr>
            <w:top w:val="none" w:sz="0" w:space="0" w:color="auto"/>
            <w:left w:val="none" w:sz="0" w:space="0" w:color="auto"/>
            <w:bottom w:val="none" w:sz="0" w:space="0" w:color="auto"/>
            <w:right w:val="none" w:sz="0" w:space="0" w:color="auto"/>
          </w:divBdr>
        </w:div>
      </w:divsChild>
    </w:div>
    <w:div w:id="1025443366">
      <w:bodyDiv w:val="1"/>
      <w:marLeft w:val="0"/>
      <w:marRight w:val="0"/>
      <w:marTop w:val="0"/>
      <w:marBottom w:val="0"/>
      <w:divBdr>
        <w:top w:val="none" w:sz="0" w:space="0" w:color="auto"/>
        <w:left w:val="none" w:sz="0" w:space="0" w:color="auto"/>
        <w:bottom w:val="none" w:sz="0" w:space="0" w:color="auto"/>
        <w:right w:val="none" w:sz="0" w:space="0" w:color="auto"/>
      </w:divBdr>
    </w:div>
    <w:div w:id="1052508282">
      <w:bodyDiv w:val="1"/>
      <w:marLeft w:val="0"/>
      <w:marRight w:val="0"/>
      <w:marTop w:val="0"/>
      <w:marBottom w:val="0"/>
      <w:divBdr>
        <w:top w:val="none" w:sz="0" w:space="0" w:color="auto"/>
        <w:left w:val="none" w:sz="0" w:space="0" w:color="auto"/>
        <w:bottom w:val="none" w:sz="0" w:space="0" w:color="auto"/>
        <w:right w:val="none" w:sz="0" w:space="0" w:color="auto"/>
      </w:divBdr>
    </w:div>
    <w:div w:id="1115757522">
      <w:bodyDiv w:val="1"/>
      <w:marLeft w:val="0"/>
      <w:marRight w:val="0"/>
      <w:marTop w:val="0"/>
      <w:marBottom w:val="0"/>
      <w:divBdr>
        <w:top w:val="none" w:sz="0" w:space="0" w:color="auto"/>
        <w:left w:val="none" w:sz="0" w:space="0" w:color="auto"/>
        <w:bottom w:val="none" w:sz="0" w:space="0" w:color="auto"/>
        <w:right w:val="none" w:sz="0" w:space="0" w:color="auto"/>
      </w:divBdr>
      <w:divsChild>
        <w:div w:id="1147673680">
          <w:marLeft w:val="0"/>
          <w:marRight w:val="0"/>
          <w:marTop w:val="0"/>
          <w:marBottom w:val="0"/>
          <w:divBdr>
            <w:top w:val="none" w:sz="0" w:space="0" w:color="auto"/>
            <w:left w:val="none" w:sz="0" w:space="0" w:color="auto"/>
            <w:bottom w:val="none" w:sz="0" w:space="0" w:color="auto"/>
            <w:right w:val="none" w:sz="0" w:space="0" w:color="auto"/>
          </w:divBdr>
        </w:div>
        <w:div w:id="1175074631">
          <w:marLeft w:val="0"/>
          <w:marRight w:val="0"/>
          <w:marTop w:val="0"/>
          <w:marBottom w:val="0"/>
          <w:divBdr>
            <w:top w:val="none" w:sz="0" w:space="0" w:color="auto"/>
            <w:left w:val="none" w:sz="0" w:space="0" w:color="auto"/>
            <w:bottom w:val="none" w:sz="0" w:space="0" w:color="auto"/>
            <w:right w:val="none" w:sz="0" w:space="0" w:color="auto"/>
          </w:divBdr>
        </w:div>
      </w:divsChild>
    </w:div>
    <w:div w:id="1249117665">
      <w:bodyDiv w:val="1"/>
      <w:marLeft w:val="0"/>
      <w:marRight w:val="0"/>
      <w:marTop w:val="0"/>
      <w:marBottom w:val="0"/>
      <w:divBdr>
        <w:top w:val="none" w:sz="0" w:space="0" w:color="auto"/>
        <w:left w:val="none" w:sz="0" w:space="0" w:color="auto"/>
        <w:bottom w:val="none" w:sz="0" w:space="0" w:color="auto"/>
        <w:right w:val="none" w:sz="0" w:space="0" w:color="auto"/>
      </w:divBdr>
    </w:div>
    <w:div w:id="1272008602">
      <w:bodyDiv w:val="1"/>
      <w:marLeft w:val="0"/>
      <w:marRight w:val="0"/>
      <w:marTop w:val="0"/>
      <w:marBottom w:val="0"/>
      <w:divBdr>
        <w:top w:val="none" w:sz="0" w:space="0" w:color="auto"/>
        <w:left w:val="none" w:sz="0" w:space="0" w:color="auto"/>
        <w:bottom w:val="none" w:sz="0" w:space="0" w:color="auto"/>
        <w:right w:val="none" w:sz="0" w:space="0" w:color="auto"/>
      </w:divBdr>
      <w:divsChild>
        <w:div w:id="887373035">
          <w:marLeft w:val="0"/>
          <w:marRight w:val="0"/>
          <w:marTop w:val="0"/>
          <w:marBottom w:val="0"/>
          <w:divBdr>
            <w:top w:val="none" w:sz="0" w:space="0" w:color="auto"/>
            <w:left w:val="none" w:sz="0" w:space="0" w:color="auto"/>
            <w:bottom w:val="none" w:sz="0" w:space="0" w:color="auto"/>
            <w:right w:val="none" w:sz="0" w:space="0" w:color="auto"/>
          </w:divBdr>
        </w:div>
        <w:div w:id="696007432">
          <w:marLeft w:val="0"/>
          <w:marRight w:val="0"/>
          <w:marTop w:val="0"/>
          <w:marBottom w:val="0"/>
          <w:divBdr>
            <w:top w:val="none" w:sz="0" w:space="0" w:color="auto"/>
            <w:left w:val="none" w:sz="0" w:space="0" w:color="auto"/>
            <w:bottom w:val="none" w:sz="0" w:space="0" w:color="auto"/>
            <w:right w:val="none" w:sz="0" w:space="0" w:color="auto"/>
          </w:divBdr>
        </w:div>
      </w:divsChild>
    </w:div>
    <w:div w:id="1308048498">
      <w:bodyDiv w:val="1"/>
      <w:marLeft w:val="0"/>
      <w:marRight w:val="0"/>
      <w:marTop w:val="0"/>
      <w:marBottom w:val="0"/>
      <w:divBdr>
        <w:top w:val="none" w:sz="0" w:space="0" w:color="auto"/>
        <w:left w:val="none" w:sz="0" w:space="0" w:color="auto"/>
        <w:bottom w:val="none" w:sz="0" w:space="0" w:color="auto"/>
        <w:right w:val="none" w:sz="0" w:space="0" w:color="auto"/>
      </w:divBdr>
      <w:divsChild>
        <w:div w:id="1128208461">
          <w:marLeft w:val="0"/>
          <w:marRight w:val="0"/>
          <w:marTop w:val="0"/>
          <w:marBottom w:val="0"/>
          <w:divBdr>
            <w:top w:val="none" w:sz="0" w:space="0" w:color="auto"/>
            <w:left w:val="none" w:sz="0" w:space="0" w:color="auto"/>
            <w:bottom w:val="none" w:sz="0" w:space="0" w:color="auto"/>
            <w:right w:val="none" w:sz="0" w:space="0" w:color="auto"/>
          </w:divBdr>
        </w:div>
        <w:div w:id="1568414230">
          <w:marLeft w:val="0"/>
          <w:marRight w:val="0"/>
          <w:marTop w:val="0"/>
          <w:marBottom w:val="0"/>
          <w:divBdr>
            <w:top w:val="none" w:sz="0" w:space="0" w:color="auto"/>
            <w:left w:val="none" w:sz="0" w:space="0" w:color="auto"/>
            <w:bottom w:val="none" w:sz="0" w:space="0" w:color="auto"/>
            <w:right w:val="none" w:sz="0" w:space="0" w:color="auto"/>
          </w:divBdr>
        </w:div>
      </w:divsChild>
    </w:div>
    <w:div w:id="1617905107">
      <w:bodyDiv w:val="1"/>
      <w:marLeft w:val="0"/>
      <w:marRight w:val="0"/>
      <w:marTop w:val="0"/>
      <w:marBottom w:val="0"/>
      <w:divBdr>
        <w:top w:val="none" w:sz="0" w:space="0" w:color="auto"/>
        <w:left w:val="none" w:sz="0" w:space="0" w:color="auto"/>
        <w:bottom w:val="none" w:sz="0" w:space="0" w:color="auto"/>
        <w:right w:val="none" w:sz="0" w:space="0" w:color="auto"/>
      </w:divBdr>
      <w:divsChild>
        <w:div w:id="1475292879">
          <w:marLeft w:val="0"/>
          <w:marRight w:val="0"/>
          <w:marTop w:val="0"/>
          <w:marBottom w:val="0"/>
          <w:divBdr>
            <w:top w:val="none" w:sz="0" w:space="0" w:color="auto"/>
            <w:left w:val="none" w:sz="0" w:space="0" w:color="auto"/>
            <w:bottom w:val="none" w:sz="0" w:space="0" w:color="auto"/>
            <w:right w:val="none" w:sz="0" w:space="0" w:color="auto"/>
          </w:divBdr>
        </w:div>
      </w:divsChild>
    </w:div>
    <w:div w:id="1715537539">
      <w:bodyDiv w:val="1"/>
      <w:marLeft w:val="0"/>
      <w:marRight w:val="0"/>
      <w:marTop w:val="0"/>
      <w:marBottom w:val="0"/>
      <w:divBdr>
        <w:top w:val="none" w:sz="0" w:space="0" w:color="auto"/>
        <w:left w:val="none" w:sz="0" w:space="0" w:color="auto"/>
        <w:bottom w:val="none" w:sz="0" w:space="0" w:color="auto"/>
        <w:right w:val="none" w:sz="0" w:space="0" w:color="auto"/>
      </w:divBdr>
    </w:div>
    <w:div w:id="1720855322">
      <w:bodyDiv w:val="1"/>
      <w:marLeft w:val="0"/>
      <w:marRight w:val="0"/>
      <w:marTop w:val="0"/>
      <w:marBottom w:val="0"/>
      <w:divBdr>
        <w:top w:val="none" w:sz="0" w:space="0" w:color="auto"/>
        <w:left w:val="none" w:sz="0" w:space="0" w:color="auto"/>
        <w:bottom w:val="none" w:sz="0" w:space="0" w:color="auto"/>
        <w:right w:val="none" w:sz="0" w:space="0" w:color="auto"/>
      </w:divBdr>
      <w:divsChild>
        <w:div w:id="92615899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38/s41591-022-01897-x" TargetMode="External"/><Relationship Id="rId21" Type="http://schemas.openxmlformats.org/officeDocument/2006/relationships/hyperlink" Target="https://doi.org/10.1093/neuonc/noac024" TargetMode="External"/><Relationship Id="rId34" Type="http://schemas.openxmlformats.org/officeDocument/2006/relationships/hyperlink" Target="https://doi.org/10.3390/biom12081136" TargetMode="External"/><Relationship Id="rId42" Type="http://schemas.openxmlformats.org/officeDocument/2006/relationships/hyperlink" Target="https://doi.org/10.1093/infdis/jit458" TargetMode="External"/><Relationship Id="rId47" Type="http://schemas.openxmlformats.org/officeDocument/2006/relationships/hyperlink" Target="https://doi.org/10.1038/s41590-022-01415-8" TargetMode="External"/><Relationship Id="rId50" Type="http://schemas.openxmlformats.org/officeDocument/2006/relationships/hyperlink" Target="https://doi.org/10.1128/spectrum.00690-24" TargetMode="External"/><Relationship Id="rId55" Type="http://schemas.openxmlformats.org/officeDocument/2006/relationships/hyperlink" Target="https://doi.org/10.1021/acs.molpharmaceut.0c00506" TargetMode="External"/><Relationship Id="rId63" Type="http://schemas.openxmlformats.org/officeDocument/2006/relationships/hyperlink" Target="https://doi.org/10.3390/biomedicines12071577"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researchdata.cab.unipd.it/id/eprint/1544" TargetMode="External"/><Relationship Id="rId29" Type="http://schemas.openxmlformats.org/officeDocument/2006/relationships/hyperlink" Target="https://doi.org/10.3390/ijms24119255" TargetMode="External"/><Relationship Id="rId11" Type="http://schemas.openxmlformats.org/officeDocument/2006/relationships/image" Target="media/image1.png"/><Relationship Id="rId24" Type="http://schemas.openxmlformats.org/officeDocument/2006/relationships/hyperlink" Target="https://doi.org/10.1038/nbt.2287" TargetMode="External"/><Relationship Id="rId32" Type="http://schemas.openxmlformats.org/officeDocument/2006/relationships/hyperlink" Target="https://doi.org/10.1007/s10544-012-9699-7" TargetMode="External"/><Relationship Id="rId37" Type="http://schemas.openxmlformats.org/officeDocument/2006/relationships/hyperlink" Target="https://doi.org/10.1038/s41568-019-0205-x" TargetMode="External"/><Relationship Id="rId40" Type="http://schemas.openxmlformats.org/officeDocument/2006/relationships/hyperlink" Target="https://doi.org/10.1016/j.copbio.2020.06.009" TargetMode="External"/><Relationship Id="rId45" Type="http://schemas.openxmlformats.org/officeDocument/2006/relationships/hyperlink" Target="https://doi.org/10.1007/s00401-004-0928-x" TargetMode="External"/><Relationship Id="rId53" Type="http://schemas.openxmlformats.org/officeDocument/2006/relationships/hyperlink" Target="https://doi.org/10.1002/smll.202104763" TargetMode="External"/><Relationship Id="rId58" Type="http://schemas.openxmlformats.org/officeDocument/2006/relationships/hyperlink" Target="https://doi.org/10.1016/j.xpro.2023.102827" TargetMode="External"/><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s://doi.org/10.1016/j.cmpb.2015.02.006" TargetMode="External"/><Relationship Id="rId19" Type="http://schemas.openxmlformats.org/officeDocument/2006/relationships/hyperlink" Target="https://doi.org/10.1016/j.jocn.2018.05.002" TargetMode="External"/><Relationship Id="rId14" Type="http://schemas.openxmlformats.org/officeDocument/2006/relationships/image" Target="media/image4.png"/><Relationship Id="rId22" Type="http://schemas.openxmlformats.org/officeDocument/2006/relationships/hyperlink" Target="https://doi.org/10.1126/scitranslmed.aaa0984" TargetMode="External"/><Relationship Id="rId27" Type="http://schemas.openxmlformats.org/officeDocument/2006/relationships/hyperlink" Target="https://doi.org/10.1016/j.isci.2024.110652" TargetMode="External"/><Relationship Id="rId30" Type="http://schemas.openxmlformats.org/officeDocument/2006/relationships/hyperlink" Target="https://doi.org/10.1186/1471-2202-12-40" TargetMode="External"/><Relationship Id="rId35" Type="http://schemas.openxmlformats.org/officeDocument/2006/relationships/hyperlink" Target="https://doi.org/10.1038/s41571-021-00529-6" TargetMode="External"/><Relationship Id="rId43" Type="http://schemas.openxmlformats.org/officeDocument/2006/relationships/hyperlink" Target="https://doi.org/10.1099/0022-1317-52-2-381" TargetMode="External"/><Relationship Id="rId48" Type="http://schemas.openxmlformats.org/officeDocument/2006/relationships/hyperlink" Target="https://doi.org/10.1371/journal.pone.0069270" TargetMode="External"/><Relationship Id="rId56" Type="http://schemas.openxmlformats.org/officeDocument/2006/relationships/hyperlink" Target="https://doi.org/10.1038/nature10138" TargetMode="External"/><Relationship Id="rId64" Type="http://schemas.openxmlformats.org/officeDocument/2006/relationships/hyperlink" Target="https://doi.org/10.1016/0022-1759(79)90268-0" TargetMode="External"/><Relationship Id="rId8" Type="http://schemas.openxmlformats.org/officeDocument/2006/relationships/endnotes" Target="endnotes.xml"/><Relationship Id="rId51" Type="http://schemas.openxmlformats.org/officeDocument/2006/relationships/hyperlink" Target="https://doi.org/10.3389/fimmu.2022.974996"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https://doi.org/10.1016/j.addr.2019.11.009" TargetMode="External"/><Relationship Id="rId25" Type="http://schemas.openxmlformats.org/officeDocument/2006/relationships/hyperlink" Target="https://doi.org/10.1080/21645515.2017.1412896" TargetMode="External"/><Relationship Id="rId33" Type="http://schemas.openxmlformats.org/officeDocument/2006/relationships/hyperlink" Target="https://doi.org/10.1016/j.drudis.2016.05.020" TargetMode="External"/><Relationship Id="rId38" Type="http://schemas.openxmlformats.org/officeDocument/2006/relationships/hyperlink" Target="https://doi.org/10.3389/fneur.2023.1225594" TargetMode="External"/><Relationship Id="rId46" Type="http://schemas.openxmlformats.org/officeDocument/2006/relationships/hyperlink" Target="https://doi.org/10.1093/jnen/62.4.412" TargetMode="External"/><Relationship Id="rId59" Type="http://schemas.openxmlformats.org/officeDocument/2006/relationships/hyperlink" Target="https://doi.org/10.1021/acsami.0c17102" TargetMode="External"/><Relationship Id="rId67" Type="http://schemas.openxmlformats.org/officeDocument/2006/relationships/fontTable" Target="fontTable.xml"/><Relationship Id="rId20" Type="http://schemas.openxmlformats.org/officeDocument/2006/relationships/hyperlink" Target="https://doi.org/10.1007/s11060-020-03448-1" TargetMode="External"/><Relationship Id="rId41" Type="http://schemas.openxmlformats.org/officeDocument/2006/relationships/hyperlink" Target="https://doi.org/10.3390/ijms25126496" TargetMode="External"/><Relationship Id="rId54" Type="http://schemas.openxmlformats.org/officeDocument/2006/relationships/hyperlink" Target="https://doi.org/10.1002/advs.202201740" TargetMode="External"/><Relationship Id="rId62" Type="http://schemas.openxmlformats.org/officeDocument/2006/relationships/hyperlink" Target="https://doi.org/10.2144/000112096"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doi.org/10.1056/nejmoa2314390" TargetMode="External"/><Relationship Id="rId28" Type="http://schemas.openxmlformats.org/officeDocument/2006/relationships/hyperlink" Target="https://doi.org/10.1016/j.ejphar.2020.172991" TargetMode="External"/><Relationship Id="rId36" Type="http://schemas.openxmlformats.org/officeDocument/2006/relationships/hyperlink" Target="https://doi.org/10.3389/fncel.2022.922181" TargetMode="External"/><Relationship Id="rId49" Type="http://schemas.openxmlformats.org/officeDocument/2006/relationships/hyperlink" Target="https://doi.org/10.1016/j.imbio.2019.08.007" TargetMode="External"/><Relationship Id="rId57" Type="http://schemas.openxmlformats.org/officeDocument/2006/relationships/hyperlink" Target="https://doi.org/10.3390/ijms241411810" TargetMode="External"/><Relationship Id="rId10" Type="http://schemas.openxmlformats.org/officeDocument/2006/relationships/hyperlink" Target="mailto:arianna.calistri@unipd.it" TargetMode="External"/><Relationship Id="rId31" Type="http://schemas.openxmlformats.org/officeDocument/2006/relationships/hyperlink" Target="https://doi.org/10.1016/j.jconrel.2022.01.011" TargetMode="External"/><Relationship Id="rId44" Type="http://schemas.openxmlformats.org/officeDocument/2006/relationships/hyperlink" Target="https://doi.org/10.1038/s41596-021-00635-w" TargetMode="External"/><Relationship Id="rId52" Type="http://schemas.openxmlformats.org/officeDocument/2006/relationships/hyperlink" Target="https://doi.org/10.1016/0042-6822(83)90112-5" TargetMode="External"/><Relationship Id="rId60" Type="http://schemas.openxmlformats.org/officeDocument/2006/relationships/hyperlink" Target="https://doi.org/10.3390/foods13244167" TargetMode="External"/><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elisa.cimetta@unipd.it" TargetMode="External"/><Relationship Id="rId13" Type="http://schemas.openxmlformats.org/officeDocument/2006/relationships/image" Target="media/image3.png"/><Relationship Id="rId18" Type="http://schemas.openxmlformats.org/officeDocument/2006/relationships/hyperlink" Target="https://doi.org/10.1016/b978-0-12-802997-8.00023-2" TargetMode="External"/><Relationship Id="rId39" Type="http://schemas.openxmlformats.org/officeDocument/2006/relationships/hyperlink" Target="https://doi.org/10.1007/bf0246372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yvmFGqdkjVWhYDwAH8ZG3ftLXw==">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</go:docsCustomData>
</go:gDocsCustomXmlDataStorage>
</file>

<file path=customXml/itemProps1.xml><?xml version="1.0" encoding="utf-8"?>
<ds:datastoreItem xmlns:ds="http://schemas.openxmlformats.org/officeDocument/2006/customXml" ds:itemID="{D699394C-4A2A-4EBD-A569-21E23D2DF7F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23</Pages>
  <Words>38783</Words>
  <Characters>221065</Characters>
  <Application>Microsoft Office Word</Application>
  <DocSecurity>0</DocSecurity>
  <Lines>1842</Lines>
  <Paragraphs>518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259330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Micheli</dc:creator>
  <cp:lastModifiedBy>Elisa Cimetta</cp:lastModifiedBy>
  <cp:revision>23</cp:revision>
  <dcterms:created xsi:type="dcterms:W3CDTF">2025-10-06T08:52:00Z</dcterms:created>
  <dcterms:modified xsi:type="dcterms:W3CDTF">2025-10-07T07:40:00Z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Mendeley Document_1">
    <vt:lpwstr>True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6th/7th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4th edition (note with bibliography)</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http://www.zotero.org/styles/small</vt:lpwstr>
  </property>
  <property fmtid="{D5CDD505-2E9C-101B-9397-08002B2CF9AE}" pid="23" name="Mendeley Recent Style Name 9_1">
    <vt:lpwstr>Small</vt:lpwstr>
  </property>
  <property fmtid="{D5CDD505-2E9C-101B-9397-08002B2CF9AE}" pid="24" name="Mendeley Citation Style_1">
    <vt:lpwstr>http://www.zotero.org/styles/small</vt:lpwstr>
  </property>
  <property fmtid="{D5CDD505-2E9C-101B-9397-08002B2CF9AE}" pid="25" name="Mendeley Unique User Id_1">
    <vt:lpwstr>28ea14fa-f002-386c-bdfa-bd4dd68d6a01</vt:lpwstr>
  </property>
</Properties>
</file>